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C27B47">
      <w:pPr>
        <w:spacing w:line="360" w:lineRule="auto"/>
        <w:jc w:val="center"/>
        <w:rPr>
          <w:rFonts w:hint="eastAsia" w:ascii="仿宋_GB2312" w:eastAsia="仿宋_GB2312"/>
          <w:b/>
          <w:sz w:val="44"/>
          <w:lang w:val="en-US" w:eastAsia="zh-CN"/>
        </w:rPr>
      </w:pPr>
    </w:p>
    <w:p w14:paraId="0CECE006">
      <w:pPr>
        <w:spacing w:line="360" w:lineRule="auto"/>
        <w:jc w:val="center"/>
        <w:rPr>
          <w:rFonts w:hint="eastAsia" w:ascii="仿宋_GB2312" w:eastAsia="仿宋_GB2312"/>
          <w:b/>
          <w:sz w:val="44"/>
          <w:lang w:val="en-US" w:eastAsia="zh-CN"/>
        </w:rPr>
      </w:pPr>
    </w:p>
    <w:p w14:paraId="3A62955F">
      <w:pPr>
        <w:spacing w:line="360" w:lineRule="auto"/>
        <w:jc w:val="center"/>
        <w:rPr>
          <w:rFonts w:hint="eastAsia" w:ascii="仿宋_GB2312" w:eastAsia="仿宋_GB2312"/>
          <w:b/>
          <w:sz w:val="44"/>
          <w:lang w:val="en-US" w:eastAsia="zh-CN"/>
        </w:rPr>
      </w:pPr>
      <w:r>
        <w:rPr>
          <w:rFonts w:hint="eastAsia" w:ascii="仿宋_GB2312" w:eastAsia="仿宋_GB2312"/>
          <w:b/>
          <w:sz w:val="44"/>
          <w:lang w:val="en-US" w:eastAsia="zh-CN"/>
        </w:rPr>
        <w:t>杭州广汇包装材料有限公司年产500万只塑料袋项目环境保护措施竣工验收监测报告</w:t>
      </w:r>
    </w:p>
    <w:p w14:paraId="6E28D0C1">
      <w:pPr>
        <w:pStyle w:val="8"/>
        <w:rPr>
          <w:rFonts w:hint="eastAsia" w:ascii="仿宋_GB2312" w:eastAsia="仿宋_GB2312"/>
          <w:b/>
          <w:sz w:val="44"/>
          <w:lang w:val="en-US" w:eastAsia="zh-CN"/>
        </w:rPr>
      </w:pPr>
    </w:p>
    <w:p w14:paraId="674300C0">
      <w:pPr>
        <w:pStyle w:val="8"/>
        <w:rPr>
          <w:rFonts w:hint="eastAsia" w:ascii="仿宋_GB2312" w:eastAsia="仿宋_GB2312"/>
          <w:b/>
          <w:sz w:val="44"/>
          <w:lang w:val="en-US" w:eastAsia="zh-CN"/>
        </w:rPr>
      </w:pPr>
    </w:p>
    <w:p w14:paraId="5B3E92D1">
      <w:pPr>
        <w:pStyle w:val="8"/>
        <w:rPr>
          <w:rFonts w:hint="eastAsia" w:ascii="仿宋_GB2312" w:eastAsia="仿宋_GB2312"/>
          <w:b/>
          <w:sz w:val="44"/>
          <w:lang w:val="en-US" w:eastAsia="zh-CN"/>
        </w:rPr>
      </w:pPr>
    </w:p>
    <w:p w14:paraId="19F5B42A">
      <w:pPr>
        <w:pStyle w:val="8"/>
        <w:rPr>
          <w:rFonts w:hint="eastAsia" w:ascii="仿宋_GB2312" w:eastAsia="仿宋_GB2312"/>
          <w:b/>
          <w:sz w:val="44"/>
          <w:lang w:val="en-US" w:eastAsia="zh-CN"/>
        </w:rPr>
      </w:pPr>
    </w:p>
    <w:p w14:paraId="5E76C2C6">
      <w:pPr>
        <w:pStyle w:val="8"/>
        <w:rPr>
          <w:rFonts w:hint="eastAsia" w:ascii="仿宋_GB2312" w:eastAsia="仿宋_GB2312"/>
          <w:b/>
          <w:sz w:val="44"/>
          <w:lang w:val="en-US" w:eastAsia="zh-CN"/>
        </w:rPr>
      </w:pPr>
    </w:p>
    <w:p w14:paraId="35FDEAFC">
      <w:pPr>
        <w:pStyle w:val="8"/>
        <w:rPr>
          <w:rFonts w:hint="eastAsia" w:ascii="仿宋_GB2312" w:eastAsia="仿宋_GB2312"/>
          <w:b/>
          <w:sz w:val="44"/>
          <w:lang w:val="en-US" w:eastAsia="zh-CN"/>
        </w:rPr>
      </w:pPr>
    </w:p>
    <w:p w14:paraId="79320E56">
      <w:pPr>
        <w:pStyle w:val="8"/>
        <w:rPr>
          <w:rFonts w:hint="eastAsia" w:ascii="仿宋_GB2312" w:eastAsia="仿宋_GB2312"/>
          <w:b/>
          <w:sz w:val="44"/>
          <w:lang w:val="en-US" w:eastAsia="zh-CN"/>
        </w:rPr>
      </w:pPr>
    </w:p>
    <w:p w14:paraId="09D8EEB2">
      <w:pPr>
        <w:pStyle w:val="8"/>
        <w:rPr>
          <w:rFonts w:hint="eastAsia" w:ascii="仿宋_GB2312" w:eastAsia="仿宋_GB2312"/>
          <w:b/>
          <w:sz w:val="44"/>
          <w:lang w:val="en-US" w:eastAsia="zh-CN"/>
        </w:rPr>
      </w:pPr>
    </w:p>
    <w:p w14:paraId="724DAB88">
      <w:pPr>
        <w:pStyle w:val="8"/>
        <w:rPr>
          <w:rFonts w:hint="eastAsia" w:ascii="仿宋_GB2312" w:eastAsia="仿宋_GB2312"/>
          <w:b/>
          <w:sz w:val="44"/>
          <w:lang w:val="en-US" w:eastAsia="zh-CN"/>
        </w:rPr>
      </w:pPr>
    </w:p>
    <w:p w14:paraId="05515342">
      <w:pPr>
        <w:pStyle w:val="8"/>
        <w:rPr>
          <w:rFonts w:hint="eastAsia" w:ascii="仿宋_GB2312" w:eastAsia="仿宋_GB2312"/>
          <w:b/>
          <w:sz w:val="44"/>
          <w:lang w:val="en-US" w:eastAsia="zh-CN"/>
        </w:rPr>
      </w:pPr>
    </w:p>
    <w:p w14:paraId="56BD45B6">
      <w:pPr>
        <w:pStyle w:val="8"/>
        <w:rPr>
          <w:rFonts w:hint="eastAsia" w:ascii="仿宋_GB2312" w:eastAsia="仿宋_GB2312"/>
          <w:b/>
          <w:sz w:val="44"/>
          <w:lang w:val="en-US" w:eastAsia="zh-CN"/>
        </w:rPr>
      </w:pPr>
    </w:p>
    <w:p w14:paraId="43810C08">
      <w:pPr>
        <w:pStyle w:val="8"/>
        <w:rPr>
          <w:rFonts w:hint="eastAsia" w:ascii="仿宋_GB2312" w:eastAsia="仿宋_GB2312"/>
          <w:b/>
          <w:sz w:val="44"/>
          <w:lang w:val="en-US" w:eastAsia="zh-CN"/>
        </w:rPr>
      </w:pPr>
    </w:p>
    <w:p w14:paraId="2BA1B339">
      <w:pPr>
        <w:pStyle w:val="8"/>
        <w:rPr>
          <w:rFonts w:hint="eastAsia" w:ascii="仿宋_GB2312" w:eastAsia="仿宋_GB2312"/>
          <w:b/>
          <w:sz w:val="44"/>
          <w:lang w:val="en-US" w:eastAsia="zh-CN"/>
        </w:rPr>
      </w:pPr>
    </w:p>
    <w:p w14:paraId="5B8CCAE6">
      <w:pPr>
        <w:pStyle w:val="8"/>
        <w:rPr>
          <w:rFonts w:hint="eastAsia" w:ascii="仿宋_GB2312" w:eastAsia="仿宋_GB2312"/>
          <w:b/>
          <w:sz w:val="44"/>
          <w:lang w:val="en-US" w:eastAsia="zh-CN"/>
        </w:rPr>
      </w:pPr>
    </w:p>
    <w:p w14:paraId="2E8341C6">
      <w:pPr>
        <w:spacing w:line="360" w:lineRule="auto"/>
        <w:jc w:val="center"/>
        <w:rPr>
          <w:rFonts w:hint="eastAsia" w:ascii="仿宋_GB2312" w:eastAsia="仿宋_GB2312"/>
          <w:sz w:val="28"/>
          <w:lang w:eastAsia="zh-CN"/>
        </w:rPr>
      </w:pPr>
      <w:r>
        <w:rPr>
          <w:rFonts w:hint="eastAsia" w:ascii="仿宋_GB2312" w:eastAsia="仿宋_GB2312"/>
          <w:sz w:val="28"/>
        </w:rPr>
        <w:t>建设单位</w:t>
      </w:r>
      <w:r>
        <w:rPr>
          <w:rFonts w:ascii="仿宋_GB2312" w:eastAsia="仿宋_GB2312"/>
          <w:sz w:val="28"/>
        </w:rPr>
        <w:t>:</w:t>
      </w:r>
      <w:r>
        <w:rPr>
          <w:rFonts w:hint="eastAsia" w:ascii="仿宋_GB2312" w:eastAsia="仿宋_GB2312"/>
          <w:sz w:val="28"/>
          <w:lang w:val="en-US" w:eastAsia="zh-CN"/>
        </w:rPr>
        <w:t xml:space="preserve"> 杭州广汇包装材料有限公司</w:t>
      </w:r>
    </w:p>
    <w:p w14:paraId="1A350795">
      <w:pPr>
        <w:spacing w:line="360" w:lineRule="auto"/>
        <w:jc w:val="center"/>
        <w:rPr>
          <w:rFonts w:hint="eastAsia" w:ascii="仿宋_GB2312" w:eastAsia="仿宋_GB2312"/>
          <w:sz w:val="28"/>
          <w:lang w:eastAsia="zh-CN"/>
        </w:rPr>
      </w:pPr>
      <w:r>
        <w:rPr>
          <w:rFonts w:hint="default" w:ascii="仿宋_GB2312" w:eastAsia="仿宋_GB2312"/>
          <w:sz w:val="28"/>
          <w:lang w:eastAsia="zh-CN"/>
        </w:rPr>
        <w:t>20</w:t>
      </w:r>
      <w:r>
        <w:rPr>
          <w:rFonts w:hint="eastAsia" w:ascii="仿宋_GB2312" w:eastAsia="仿宋_GB2312"/>
          <w:sz w:val="28"/>
          <w:lang w:val="en-US" w:eastAsia="zh-CN"/>
        </w:rPr>
        <w:t>25</w:t>
      </w:r>
      <w:r>
        <w:rPr>
          <w:rFonts w:hint="default" w:ascii="仿宋_GB2312" w:eastAsia="仿宋_GB2312"/>
          <w:sz w:val="28"/>
          <w:lang w:eastAsia="zh-CN"/>
        </w:rPr>
        <w:t>年</w:t>
      </w:r>
      <w:r>
        <w:rPr>
          <w:rFonts w:hint="eastAsia" w:ascii="仿宋_GB2312" w:eastAsia="仿宋_GB2312"/>
          <w:sz w:val="28"/>
          <w:lang w:val="en-US" w:eastAsia="zh-CN"/>
        </w:rPr>
        <w:t>9</w:t>
      </w:r>
      <w:r>
        <w:rPr>
          <w:rFonts w:hint="default" w:ascii="仿宋_GB2312" w:eastAsia="仿宋_GB2312"/>
          <w:sz w:val="28"/>
          <w:lang w:eastAsia="zh-CN"/>
        </w:rPr>
        <w:t>月</w:t>
      </w:r>
    </w:p>
    <w:p w14:paraId="6744F365"/>
    <w:p w14:paraId="2088A955">
      <w:pPr>
        <w:pStyle w:val="8"/>
      </w:pPr>
    </w:p>
    <w:p w14:paraId="43B86514">
      <w:pPr>
        <w:pStyle w:val="8"/>
      </w:pPr>
    </w:p>
    <w:sdt>
      <w:sdtPr>
        <w:rPr>
          <w:rFonts w:ascii="宋体" w:hAnsi="宋体" w:eastAsia="宋体" w:cstheme="minorBidi"/>
          <w:kern w:val="2"/>
          <w:sz w:val="21"/>
          <w:szCs w:val="24"/>
          <w:lang w:val="en-US" w:eastAsia="zh-CN" w:bidi="ar-SA"/>
        </w:rPr>
        <w:id w:val="147463067"/>
        <w15:color w:val="DBDBDB"/>
        <w:docPartObj>
          <w:docPartGallery w:val="Table of Contents"/>
          <w:docPartUnique/>
        </w:docPartObj>
      </w:sdtPr>
      <w:sdtEndPr>
        <w:rPr>
          <w:rFonts w:hint="default" w:asciiTheme="minorHAnsi" w:hAnsiTheme="minorHAnsi" w:eastAsiaTheme="minorEastAsia" w:cstheme="minorBidi"/>
          <w:b/>
          <w:kern w:val="2"/>
          <w:sz w:val="24"/>
          <w:szCs w:val="24"/>
          <w:lang w:val="en-US" w:eastAsia="zh-CN" w:bidi="ar-SA"/>
        </w:rPr>
      </w:sdtEndPr>
      <w:sdtContent>
        <w:p w14:paraId="418D14B4">
          <w:pPr>
            <w:spacing w:before="0" w:beforeLines="0" w:after="0" w:afterLines="0" w:line="240" w:lineRule="auto"/>
            <w:ind w:left="0" w:leftChars="0" w:right="0" w:rightChars="0" w:firstLine="0" w:firstLineChars="0"/>
            <w:jc w:val="center"/>
            <w:rPr>
              <w:sz w:val="36"/>
              <w:szCs w:val="36"/>
            </w:rPr>
          </w:pPr>
          <w:r>
            <w:rPr>
              <w:rFonts w:ascii="宋体" w:hAnsi="宋体" w:eastAsia="宋体"/>
              <w:sz w:val="36"/>
              <w:szCs w:val="36"/>
            </w:rPr>
            <w:t>目录</w:t>
          </w:r>
        </w:p>
        <w:p w14:paraId="646338C4">
          <w:pPr>
            <w:pStyle w:val="11"/>
            <w:tabs>
              <w:tab w:val="right" w:leader="dot" w:pos="8306"/>
              <w:tab w:val="clear" w:pos="8296"/>
            </w:tabs>
          </w:pPr>
          <w:r>
            <w:rPr>
              <w:rFonts w:hint="default"/>
              <w:lang w:eastAsia="zh-CN"/>
            </w:rPr>
            <w:fldChar w:fldCharType="begin"/>
          </w:r>
          <w:r>
            <w:rPr>
              <w:rFonts w:hint="default"/>
              <w:lang w:eastAsia="zh-CN"/>
            </w:rPr>
            <w:instrText xml:space="preserve">TOC \o "1-2" \h \u </w:instrText>
          </w:r>
          <w:r>
            <w:rPr>
              <w:rFonts w:hint="default"/>
              <w:lang w:eastAsia="zh-CN"/>
            </w:rPr>
            <w:fldChar w:fldCharType="separate"/>
          </w:r>
          <w:r>
            <w:rPr>
              <w:rFonts w:hint="default"/>
              <w:lang w:eastAsia="zh-CN"/>
            </w:rPr>
            <w:fldChar w:fldCharType="begin"/>
          </w:r>
          <w:r>
            <w:rPr>
              <w:rFonts w:hint="default"/>
              <w:lang w:eastAsia="zh-CN"/>
            </w:rPr>
            <w:instrText xml:space="preserve"> HYPERLINK \l _Toc7021 </w:instrText>
          </w:r>
          <w:r>
            <w:rPr>
              <w:rFonts w:hint="default"/>
              <w:lang w:eastAsia="zh-CN"/>
            </w:rPr>
            <w:fldChar w:fldCharType="separate"/>
          </w:r>
          <w:r>
            <w:rPr>
              <w:rFonts w:hint="default" w:ascii="Times New Roman" w:hAnsi="Times New Roman" w:eastAsia="宋体" w:cs="Times New Roman"/>
              <w:szCs w:val="30"/>
              <w:lang w:eastAsia="zh-CN"/>
            </w:rPr>
            <w:t>一、验收项目概况</w:t>
          </w:r>
          <w:r>
            <w:tab/>
          </w:r>
          <w:r>
            <w:fldChar w:fldCharType="begin"/>
          </w:r>
          <w:r>
            <w:instrText xml:space="preserve"> PAGEREF _Toc7021 </w:instrText>
          </w:r>
          <w:r>
            <w:fldChar w:fldCharType="separate"/>
          </w:r>
          <w:r>
            <w:t>1</w:t>
          </w:r>
          <w:r>
            <w:fldChar w:fldCharType="end"/>
          </w:r>
          <w:r>
            <w:rPr>
              <w:rFonts w:hint="default"/>
              <w:lang w:eastAsia="zh-CN"/>
            </w:rPr>
            <w:fldChar w:fldCharType="end"/>
          </w:r>
        </w:p>
        <w:p w14:paraId="3FAEE4C8">
          <w:pPr>
            <w:pStyle w:val="11"/>
            <w:tabs>
              <w:tab w:val="right" w:leader="dot" w:pos="8306"/>
              <w:tab w:val="clear" w:pos="8296"/>
            </w:tabs>
          </w:pPr>
          <w:r>
            <w:rPr>
              <w:rFonts w:hint="default"/>
              <w:lang w:eastAsia="zh-CN"/>
            </w:rPr>
            <w:fldChar w:fldCharType="begin"/>
          </w:r>
          <w:r>
            <w:rPr>
              <w:rFonts w:hint="default"/>
              <w:lang w:eastAsia="zh-CN"/>
            </w:rPr>
            <w:instrText xml:space="preserve"> HYPERLINK \l _Toc13749 </w:instrText>
          </w:r>
          <w:r>
            <w:rPr>
              <w:rFonts w:hint="default"/>
              <w:lang w:eastAsia="zh-CN"/>
            </w:rPr>
            <w:fldChar w:fldCharType="separate"/>
          </w:r>
          <w:r>
            <w:rPr>
              <w:rFonts w:hint="default" w:ascii="Times New Roman" w:hAnsi="Times New Roman" w:eastAsia="宋体" w:cs="Times New Roman"/>
              <w:bCs/>
              <w:szCs w:val="30"/>
              <w:lang w:val="en-US" w:eastAsia="zh-CN"/>
            </w:rPr>
            <w:t>二、验收监测依据</w:t>
          </w:r>
          <w:r>
            <w:tab/>
          </w:r>
          <w:r>
            <w:fldChar w:fldCharType="begin"/>
          </w:r>
          <w:r>
            <w:instrText xml:space="preserve"> PAGEREF _Toc13749 </w:instrText>
          </w:r>
          <w:r>
            <w:fldChar w:fldCharType="separate"/>
          </w:r>
          <w:r>
            <w:t>1</w:t>
          </w:r>
          <w:r>
            <w:fldChar w:fldCharType="end"/>
          </w:r>
          <w:r>
            <w:rPr>
              <w:rFonts w:hint="default"/>
              <w:lang w:eastAsia="zh-CN"/>
            </w:rPr>
            <w:fldChar w:fldCharType="end"/>
          </w:r>
        </w:p>
        <w:p w14:paraId="3AD4FE4C">
          <w:pPr>
            <w:pStyle w:val="12"/>
            <w:tabs>
              <w:tab w:val="right" w:leader="dot" w:pos="8306"/>
            </w:tabs>
            <w:ind w:left="0" w:leftChars="0"/>
          </w:pPr>
          <w:r>
            <w:rPr>
              <w:rFonts w:hint="default" w:ascii="Times New Roman" w:hAnsi="Times New Roman" w:eastAsia="宋体" w:cs="Times New Roman"/>
              <w:b/>
              <w:sz w:val="28"/>
              <w:szCs w:val="30"/>
              <w:lang w:eastAsia="zh-CN"/>
            </w:rPr>
            <w:fldChar w:fldCharType="begin"/>
          </w:r>
          <w:r>
            <w:rPr>
              <w:rFonts w:hint="default" w:ascii="Times New Roman" w:hAnsi="Times New Roman" w:eastAsia="宋体" w:cs="Times New Roman"/>
              <w:b/>
              <w:sz w:val="28"/>
              <w:szCs w:val="30"/>
              <w:lang w:eastAsia="zh-CN"/>
            </w:rPr>
            <w:instrText xml:space="preserve"> HYPERLINK \l _Toc9219 </w:instrText>
          </w:r>
          <w:r>
            <w:rPr>
              <w:rFonts w:hint="default" w:ascii="Times New Roman" w:hAnsi="Times New Roman" w:eastAsia="宋体" w:cs="Times New Roman"/>
              <w:b/>
              <w:sz w:val="28"/>
              <w:szCs w:val="30"/>
              <w:lang w:eastAsia="zh-CN"/>
            </w:rPr>
            <w:fldChar w:fldCharType="separate"/>
          </w:r>
          <w:r>
            <w:rPr>
              <w:rFonts w:hint="default" w:ascii="Times New Roman" w:hAnsi="Times New Roman" w:eastAsia="宋体" w:cs="Times New Roman"/>
              <w:b/>
              <w:bCs w:val="0"/>
              <w:sz w:val="28"/>
              <w:szCs w:val="30"/>
              <w:lang w:eastAsia="zh-CN"/>
            </w:rPr>
            <w:t>三、 工程建设情况</w:t>
          </w:r>
          <w:r>
            <w:rPr>
              <w:rFonts w:ascii="Times New Roman" w:hAnsi="Times New Roman" w:eastAsia="宋体" w:cs="Times New Roman"/>
              <w:b/>
              <w:sz w:val="28"/>
              <w:szCs w:val="30"/>
            </w:rPr>
            <w:tab/>
          </w:r>
          <w:r>
            <w:rPr>
              <w:rFonts w:ascii="Times New Roman" w:hAnsi="Times New Roman" w:eastAsia="宋体" w:cs="Times New Roman"/>
              <w:b/>
              <w:sz w:val="28"/>
              <w:szCs w:val="30"/>
            </w:rPr>
            <w:fldChar w:fldCharType="begin"/>
          </w:r>
          <w:r>
            <w:rPr>
              <w:rFonts w:ascii="Times New Roman" w:hAnsi="Times New Roman" w:eastAsia="宋体" w:cs="Times New Roman"/>
              <w:b/>
              <w:sz w:val="28"/>
              <w:szCs w:val="30"/>
            </w:rPr>
            <w:instrText xml:space="preserve"> PAGEREF _Toc9219 </w:instrText>
          </w:r>
          <w:r>
            <w:rPr>
              <w:rFonts w:ascii="Times New Roman" w:hAnsi="Times New Roman" w:eastAsia="宋体" w:cs="Times New Roman"/>
              <w:b/>
              <w:sz w:val="28"/>
              <w:szCs w:val="30"/>
            </w:rPr>
            <w:fldChar w:fldCharType="separate"/>
          </w:r>
          <w:r>
            <w:rPr>
              <w:rFonts w:ascii="Times New Roman" w:hAnsi="Times New Roman" w:eastAsia="宋体" w:cs="Times New Roman"/>
              <w:b/>
              <w:sz w:val="28"/>
              <w:szCs w:val="30"/>
            </w:rPr>
            <w:t>3</w:t>
          </w:r>
          <w:r>
            <w:rPr>
              <w:rFonts w:ascii="Times New Roman" w:hAnsi="Times New Roman" w:eastAsia="宋体" w:cs="Times New Roman"/>
              <w:b/>
              <w:sz w:val="28"/>
              <w:szCs w:val="30"/>
            </w:rPr>
            <w:fldChar w:fldCharType="end"/>
          </w:r>
          <w:r>
            <w:rPr>
              <w:rFonts w:hint="default" w:ascii="Times New Roman" w:hAnsi="Times New Roman" w:eastAsia="宋体" w:cs="Times New Roman"/>
              <w:b/>
              <w:sz w:val="28"/>
              <w:szCs w:val="30"/>
              <w:lang w:eastAsia="zh-CN"/>
            </w:rPr>
            <w:fldChar w:fldCharType="end"/>
          </w:r>
        </w:p>
        <w:p w14:paraId="184C3E71">
          <w:pPr>
            <w:pStyle w:val="12"/>
            <w:tabs>
              <w:tab w:val="right" w:leader="dot" w:pos="8306"/>
            </w:tabs>
          </w:pPr>
          <w:r>
            <w:rPr>
              <w:rFonts w:hint="default"/>
              <w:lang w:eastAsia="zh-CN"/>
            </w:rPr>
            <w:fldChar w:fldCharType="begin"/>
          </w:r>
          <w:r>
            <w:rPr>
              <w:rFonts w:hint="default"/>
              <w:lang w:eastAsia="zh-CN"/>
            </w:rPr>
            <w:instrText xml:space="preserve"> HYPERLINK \l _Toc21405 </w:instrText>
          </w:r>
          <w:r>
            <w:rPr>
              <w:rFonts w:hint="default"/>
              <w:lang w:eastAsia="zh-CN"/>
            </w:rPr>
            <w:fldChar w:fldCharType="separate"/>
          </w:r>
          <w:r>
            <w:rPr>
              <w:rFonts w:hint="default" w:ascii="Times New Roman" w:hAnsi="Times New Roman" w:eastAsia="宋体" w:cs="Times New Roman"/>
              <w:bCs/>
            </w:rPr>
            <w:t>3.1</w:t>
          </w:r>
          <w:r>
            <w:rPr>
              <w:rFonts w:hint="default" w:ascii="Times New Roman" w:hAnsi="Times New Roman" w:eastAsia="宋体" w:cs="Times New Roman"/>
              <w:bCs/>
              <w:lang w:eastAsia="zh-CN"/>
            </w:rPr>
            <w:t>地理位置</w:t>
          </w:r>
          <w:r>
            <w:rPr>
              <w:rFonts w:hint="default" w:ascii="Times New Roman" w:hAnsi="Times New Roman" w:eastAsia="宋体" w:cs="Times New Roman"/>
              <w:bCs/>
            </w:rPr>
            <w:t>及平面布置</w:t>
          </w:r>
          <w:r>
            <w:tab/>
          </w:r>
          <w:r>
            <w:fldChar w:fldCharType="begin"/>
          </w:r>
          <w:r>
            <w:instrText xml:space="preserve"> PAGEREF _Toc21405 </w:instrText>
          </w:r>
          <w:r>
            <w:fldChar w:fldCharType="separate"/>
          </w:r>
          <w:r>
            <w:t>3</w:t>
          </w:r>
          <w:r>
            <w:fldChar w:fldCharType="end"/>
          </w:r>
          <w:r>
            <w:rPr>
              <w:rFonts w:hint="default"/>
              <w:lang w:eastAsia="zh-CN"/>
            </w:rPr>
            <w:fldChar w:fldCharType="end"/>
          </w:r>
        </w:p>
        <w:p w14:paraId="3B72A51C">
          <w:pPr>
            <w:pStyle w:val="12"/>
            <w:tabs>
              <w:tab w:val="right" w:leader="dot" w:pos="8306"/>
            </w:tabs>
          </w:pPr>
          <w:r>
            <w:rPr>
              <w:rFonts w:hint="default"/>
              <w:lang w:eastAsia="zh-CN"/>
            </w:rPr>
            <w:fldChar w:fldCharType="begin"/>
          </w:r>
          <w:r>
            <w:rPr>
              <w:rFonts w:hint="default"/>
              <w:lang w:eastAsia="zh-CN"/>
            </w:rPr>
            <w:instrText xml:space="preserve"> HYPERLINK \l _Toc10854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3.2建设内容</w:t>
          </w:r>
          <w:r>
            <w:tab/>
          </w:r>
          <w:r>
            <w:fldChar w:fldCharType="begin"/>
          </w:r>
          <w:r>
            <w:instrText xml:space="preserve"> PAGEREF _Toc10854 </w:instrText>
          </w:r>
          <w:r>
            <w:fldChar w:fldCharType="separate"/>
          </w:r>
          <w:r>
            <w:t>3</w:t>
          </w:r>
          <w:r>
            <w:fldChar w:fldCharType="end"/>
          </w:r>
          <w:r>
            <w:rPr>
              <w:rFonts w:hint="default"/>
              <w:lang w:eastAsia="zh-CN"/>
            </w:rPr>
            <w:fldChar w:fldCharType="end"/>
          </w:r>
        </w:p>
        <w:p w14:paraId="64AACCB7">
          <w:pPr>
            <w:pStyle w:val="12"/>
            <w:tabs>
              <w:tab w:val="right" w:leader="dot" w:pos="8306"/>
            </w:tabs>
          </w:pPr>
          <w:r>
            <w:rPr>
              <w:rFonts w:hint="default"/>
              <w:lang w:eastAsia="zh-CN"/>
            </w:rPr>
            <w:fldChar w:fldCharType="begin"/>
          </w:r>
          <w:r>
            <w:rPr>
              <w:rFonts w:hint="default"/>
              <w:lang w:eastAsia="zh-CN"/>
            </w:rPr>
            <w:instrText xml:space="preserve"> HYPERLINK \l _Toc19317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3.3主要原辅材料</w:t>
          </w:r>
          <w:r>
            <w:tab/>
          </w:r>
          <w:r>
            <w:fldChar w:fldCharType="begin"/>
          </w:r>
          <w:r>
            <w:instrText xml:space="preserve"> PAGEREF _Toc19317 </w:instrText>
          </w:r>
          <w:r>
            <w:fldChar w:fldCharType="separate"/>
          </w:r>
          <w:r>
            <w:t>4</w:t>
          </w:r>
          <w:r>
            <w:fldChar w:fldCharType="end"/>
          </w:r>
          <w:r>
            <w:rPr>
              <w:rFonts w:hint="default"/>
              <w:lang w:eastAsia="zh-CN"/>
            </w:rPr>
            <w:fldChar w:fldCharType="end"/>
          </w:r>
        </w:p>
        <w:p w14:paraId="1A04FB28">
          <w:pPr>
            <w:pStyle w:val="12"/>
            <w:tabs>
              <w:tab w:val="right" w:leader="dot" w:pos="8306"/>
            </w:tabs>
          </w:pPr>
          <w:r>
            <w:rPr>
              <w:rFonts w:hint="default"/>
              <w:lang w:eastAsia="zh-CN"/>
            </w:rPr>
            <w:fldChar w:fldCharType="begin"/>
          </w:r>
          <w:r>
            <w:rPr>
              <w:rFonts w:hint="default"/>
              <w:lang w:eastAsia="zh-CN"/>
            </w:rPr>
            <w:instrText xml:space="preserve"> HYPERLINK \l _Toc23082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3.4建设项目生产设备</w:t>
          </w:r>
          <w:r>
            <w:tab/>
          </w:r>
          <w:r>
            <w:fldChar w:fldCharType="begin"/>
          </w:r>
          <w:r>
            <w:instrText xml:space="preserve"> PAGEREF _Toc23082 </w:instrText>
          </w:r>
          <w:r>
            <w:fldChar w:fldCharType="separate"/>
          </w:r>
          <w:r>
            <w:t>4</w:t>
          </w:r>
          <w:r>
            <w:fldChar w:fldCharType="end"/>
          </w:r>
          <w:r>
            <w:rPr>
              <w:rFonts w:hint="default"/>
              <w:lang w:eastAsia="zh-CN"/>
            </w:rPr>
            <w:fldChar w:fldCharType="end"/>
          </w:r>
        </w:p>
        <w:p w14:paraId="2204C62D">
          <w:pPr>
            <w:pStyle w:val="12"/>
            <w:tabs>
              <w:tab w:val="right" w:leader="dot" w:pos="8306"/>
            </w:tabs>
          </w:pPr>
          <w:r>
            <w:rPr>
              <w:rFonts w:hint="default"/>
              <w:lang w:eastAsia="zh-CN"/>
            </w:rPr>
            <w:fldChar w:fldCharType="begin"/>
          </w:r>
          <w:r>
            <w:rPr>
              <w:rFonts w:hint="default"/>
              <w:lang w:eastAsia="zh-CN"/>
            </w:rPr>
            <w:instrText xml:space="preserve"> HYPERLINK \l _Toc3283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3.5生产工艺情况介绍</w:t>
          </w:r>
          <w:r>
            <w:tab/>
          </w:r>
          <w:r>
            <w:fldChar w:fldCharType="begin"/>
          </w:r>
          <w:r>
            <w:instrText xml:space="preserve"> PAGEREF _Toc3283 </w:instrText>
          </w:r>
          <w:r>
            <w:fldChar w:fldCharType="separate"/>
          </w:r>
          <w:r>
            <w:t>4</w:t>
          </w:r>
          <w:r>
            <w:fldChar w:fldCharType="end"/>
          </w:r>
          <w:r>
            <w:rPr>
              <w:rFonts w:hint="default"/>
              <w:lang w:eastAsia="zh-CN"/>
            </w:rPr>
            <w:fldChar w:fldCharType="end"/>
          </w:r>
        </w:p>
        <w:p w14:paraId="2CA8DD81">
          <w:pPr>
            <w:pStyle w:val="12"/>
            <w:tabs>
              <w:tab w:val="right" w:leader="dot" w:pos="8306"/>
            </w:tabs>
          </w:pPr>
          <w:r>
            <w:rPr>
              <w:rFonts w:hint="default"/>
              <w:lang w:eastAsia="zh-CN"/>
            </w:rPr>
            <w:fldChar w:fldCharType="begin"/>
          </w:r>
          <w:r>
            <w:rPr>
              <w:rFonts w:hint="default"/>
              <w:lang w:eastAsia="zh-CN"/>
            </w:rPr>
            <w:instrText xml:space="preserve"> HYPERLINK \l _Toc29965 </w:instrText>
          </w:r>
          <w:r>
            <w:rPr>
              <w:rFonts w:hint="default"/>
              <w:lang w:eastAsia="zh-CN"/>
            </w:rPr>
            <w:fldChar w:fldCharType="separate"/>
          </w:r>
          <w:r>
            <w:rPr>
              <w:rFonts w:hint="default" w:ascii="Times New Roman" w:hAnsi="Times New Roman" w:eastAsia="宋体" w:cs="Times New Roman"/>
              <w:bCs/>
              <w:szCs w:val="24"/>
            </w:rPr>
            <w:t>3.6项目变动情况</w:t>
          </w:r>
          <w:r>
            <w:tab/>
          </w:r>
          <w:r>
            <w:fldChar w:fldCharType="begin"/>
          </w:r>
          <w:r>
            <w:instrText xml:space="preserve"> PAGEREF _Toc29965 </w:instrText>
          </w:r>
          <w:r>
            <w:fldChar w:fldCharType="separate"/>
          </w:r>
          <w:r>
            <w:t>4</w:t>
          </w:r>
          <w:r>
            <w:fldChar w:fldCharType="end"/>
          </w:r>
          <w:r>
            <w:rPr>
              <w:rFonts w:hint="default"/>
              <w:lang w:eastAsia="zh-CN"/>
            </w:rPr>
            <w:fldChar w:fldCharType="end"/>
          </w:r>
        </w:p>
        <w:p w14:paraId="42B59220">
          <w:pPr>
            <w:pStyle w:val="11"/>
            <w:tabs>
              <w:tab w:val="right" w:leader="dot" w:pos="8306"/>
              <w:tab w:val="clear" w:pos="8296"/>
            </w:tabs>
          </w:pPr>
          <w:r>
            <w:rPr>
              <w:rFonts w:hint="default"/>
              <w:lang w:eastAsia="zh-CN"/>
            </w:rPr>
            <w:fldChar w:fldCharType="begin"/>
          </w:r>
          <w:r>
            <w:rPr>
              <w:rFonts w:hint="default"/>
              <w:lang w:eastAsia="zh-CN"/>
            </w:rPr>
            <w:instrText xml:space="preserve"> HYPERLINK \l _Toc28878 </w:instrText>
          </w:r>
          <w:r>
            <w:rPr>
              <w:rFonts w:hint="default"/>
              <w:lang w:eastAsia="zh-CN"/>
            </w:rPr>
            <w:fldChar w:fldCharType="separate"/>
          </w:r>
          <w:r>
            <w:rPr>
              <w:rFonts w:hint="default" w:ascii="Times New Roman" w:hAnsi="Times New Roman" w:eastAsia="宋体" w:cs="Times New Roman"/>
              <w:lang w:val="en-US" w:eastAsia="zh-CN"/>
            </w:rPr>
            <w:t>四、环境保护设施</w:t>
          </w:r>
          <w:r>
            <w:tab/>
          </w:r>
          <w:r>
            <w:rPr>
              <w:rFonts w:hint="eastAsia"/>
              <w:lang w:val="en-US" w:eastAsia="zh-CN"/>
            </w:rPr>
            <w:t>.</w:t>
          </w:r>
          <w:r>
            <w:fldChar w:fldCharType="begin"/>
          </w:r>
          <w:r>
            <w:instrText xml:space="preserve"> PAGEREF _Toc28878 </w:instrText>
          </w:r>
          <w:r>
            <w:fldChar w:fldCharType="separate"/>
          </w:r>
          <w:r>
            <w:t>6</w:t>
          </w:r>
          <w:r>
            <w:fldChar w:fldCharType="end"/>
          </w:r>
          <w:r>
            <w:rPr>
              <w:rFonts w:hint="default"/>
              <w:lang w:eastAsia="zh-CN"/>
            </w:rPr>
            <w:fldChar w:fldCharType="end"/>
          </w:r>
        </w:p>
        <w:p w14:paraId="7858EDE4">
          <w:pPr>
            <w:pStyle w:val="12"/>
            <w:tabs>
              <w:tab w:val="right" w:leader="dot" w:pos="8306"/>
            </w:tabs>
          </w:pPr>
          <w:r>
            <w:rPr>
              <w:rFonts w:hint="default"/>
              <w:lang w:eastAsia="zh-CN"/>
            </w:rPr>
            <w:fldChar w:fldCharType="begin"/>
          </w:r>
          <w:r>
            <w:rPr>
              <w:rFonts w:hint="default"/>
              <w:lang w:eastAsia="zh-CN"/>
            </w:rPr>
            <w:instrText xml:space="preserve"> HYPERLINK \l _Toc22749 </w:instrText>
          </w:r>
          <w:r>
            <w:rPr>
              <w:rFonts w:hint="default"/>
              <w:lang w:eastAsia="zh-CN"/>
            </w:rPr>
            <w:fldChar w:fldCharType="separate"/>
          </w:r>
          <w:r>
            <w:rPr>
              <w:rFonts w:hint="default" w:ascii="Times New Roman" w:hAnsi="Times New Roman" w:eastAsia="宋体" w:cs="Times New Roman"/>
              <w:bCs/>
              <w:lang w:val="en-US" w:eastAsia="zh-CN"/>
            </w:rPr>
            <w:t>4.1污染物治理/防治措施</w:t>
          </w:r>
          <w:r>
            <w:rPr>
              <w:rFonts w:hint="eastAsia" w:ascii="Times New Roman" w:hAnsi="Times New Roman" w:eastAsia="宋体" w:cs="Times New Roman"/>
              <w:bCs/>
              <w:lang w:val="en-US" w:eastAsia="zh-CN"/>
            </w:rPr>
            <w:t>.</w:t>
          </w:r>
          <w:r>
            <w:tab/>
          </w:r>
          <w:r>
            <w:fldChar w:fldCharType="begin"/>
          </w:r>
          <w:r>
            <w:instrText xml:space="preserve"> PAGEREF _Toc22749 </w:instrText>
          </w:r>
          <w:r>
            <w:fldChar w:fldCharType="separate"/>
          </w:r>
          <w:r>
            <w:t>6</w:t>
          </w:r>
          <w:r>
            <w:fldChar w:fldCharType="end"/>
          </w:r>
          <w:r>
            <w:rPr>
              <w:rFonts w:hint="default"/>
              <w:lang w:eastAsia="zh-CN"/>
            </w:rPr>
            <w:fldChar w:fldCharType="end"/>
          </w:r>
        </w:p>
        <w:p w14:paraId="227CB038">
          <w:pPr>
            <w:pStyle w:val="12"/>
            <w:tabs>
              <w:tab w:val="right" w:leader="dot" w:pos="8306"/>
            </w:tabs>
            <w:rPr>
              <w:rFonts w:hint="default"/>
              <w:lang w:val="en-US"/>
            </w:rPr>
          </w:pPr>
          <w:r>
            <w:rPr>
              <w:rFonts w:hint="default"/>
              <w:lang w:eastAsia="zh-CN"/>
            </w:rPr>
            <w:fldChar w:fldCharType="begin"/>
          </w:r>
          <w:r>
            <w:rPr>
              <w:rFonts w:hint="default"/>
              <w:lang w:eastAsia="zh-CN"/>
            </w:rPr>
            <w:instrText xml:space="preserve"> HYPERLINK \l _Toc2154 </w:instrText>
          </w:r>
          <w:r>
            <w:rPr>
              <w:rFonts w:hint="default"/>
              <w:lang w:eastAsia="zh-CN"/>
            </w:rPr>
            <w:fldChar w:fldCharType="separate"/>
          </w:r>
          <w:r>
            <w:rPr>
              <w:rFonts w:hint="default" w:ascii="Times New Roman" w:hAnsi="Times New Roman" w:eastAsia="宋体" w:cs="Times New Roman"/>
              <w:lang w:val="en-US" w:eastAsia="zh-CN"/>
            </w:rPr>
            <w:t>4.2环保设施投资</w:t>
          </w:r>
          <w:r>
            <w:tab/>
          </w:r>
          <w:r>
            <w:rPr>
              <w:rFonts w:hint="default"/>
              <w:lang w:eastAsia="zh-CN"/>
            </w:rPr>
            <w:fldChar w:fldCharType="end"/>
          </w:r>
          <w:r>
            <w:rPr>
              <w:rFonts w:hint="eastAsia"/>
              <w:lang w:val="en-US" w:eastAsia="zh-CN"/>
            </w:rPr>
            <w:t>7</w:t>
          </w:r>
        </w:p>
        <w:p w14:paraId="4D15A23C">
          <w:pPr>
            <w:pStyle w:val="12"/>
            <w:tabs>
              <w:tab w:val="right" w:leader="dot" w:pos="8306"/>
            </w:tabs>
          </w:pPr>
          <w:r>
            <w:rPr>
              <w:rFonts w:hint="default"/>
              <w:lang w:eastAsia="zh-CN"/>
            </w:rPr>
            <w:fldChar w:fldCharType="begin"/>
          </w:r>
          <w:r>
            <w:rPr>
              <w:rFonts w:hint="default"/>
              <w:lang w:eastAsia="zh-CN"/>
            </w:rPr>
            <w:instrText xml:space="preserve"> HYPERLINK \l _Toc5514 </w:instrText>
          </w:r>
          <w:r>
            <w:rPr>
              <w:rFonts w:hint="default"/>
              <w:lang w:eastAsia="zh-CN"/>
            </w:rPr>
            <w:fldChar w:fldCharType="separate"/>
          </w:r>
          <w:r>
            <w:rPr>
              <w:rFonts w:hint="default" w:ascii="Times New Roman" w:hAnsi="Times New Roman" w:eastAsia="宋体" w:cs="Times New Roman"/>
              <w:bCs/>
              <w:szCs w:val="24"/>
              <w:lang w:val="en-US" w:eastAsia="zh-CN"/>
            </w:rPr>
            <w:t>4.3环评批复意见落实情况表</w:t>
          </w:r>
          <w:r>
            <w:tab/>
          </w:r>
          <w:r>
            <w:fldChar w:fldCharType="begin"/>
          </w:r>
          <w:r>
            <w:instrText xml:space="preserve"> PAGEREF _Toc5514 </w:instrText>
          </w:r>
          <w:r>
            <w:fldChar w:fldCharType="separate"/>
          </w:r>
          <w:r>
            <w:t>9</w:t>
          </w:r>
          <w:r>
            <w:fldChar w:fldCharType="end"/>
          </w:r>
          <w:r>
            <w:rPr>
              <w:rFonts w:hint="default"/>
              <w:lang w:eastAsia="zh-CN"/>
            </w:rPr>
            <w:fldChar w:fldCharType="end"/>
          </w:r>
        </w:p>
        <w:p w14:paraId="00B6D254">
          <w:pPr>
            <w:pStyle w:val="11"/>
            <w:tabs>
              <w:tab w:val="right" w:leader="dot" w:pos="8306"/>
              <w:tab w:val="clear" w:pos="8296"/>
            </w:tabs>
          </w:pPr>
          <w:r>
            <w:rPr>
              <w:rFonts w:hint="default"/>
              <w:lang w:eastAsia="zh-CN"/>
            </w:rPr>
            <w:fldChar w:fldCharType="begin"/>
          </w:r>
          <w:r>
            <w:rPr>
              <w:rFonts w:hint="default"/>
              <w:lang w:eastAsia="zh-CN"/>
            </w:rPr>
            <w:instrText xml:space="preserve"> HYPERLINK \l _Toc25090 </w:instrText>
          </w:r>
          <w:r>
            <w:rPr>
              <w:rFonts w:hint="default"/>
              <w:lang w:eastAsia="zh-CN"/>
            </w:rPr>
            <w:fldChar w:fldCharType="separate"/>
          </w:r>
          <w:r>
            <w:rPr>
              <w:rFonts w:hint="default" w:ascii="Times New Roman" w:hAnsi="Times New Roman" w:eastAsia="宋体" w:cs="Times New Roman"/>
              <w:lang w:val="en-US" w:eastAsia="zh-CN"/>
            </w:rPr>
            <w:t>五、建设项目环评报告</w:t>
          </w:r>
          <w:r>
            <w:rPr>
              <w:rFonts w:hint="eastAsia" w:ascii="Times New Roman" w:hAnsi="Times New Roman" w:eastAsia="宋体" w:cs="Times New Roman"/>
              <w:lang w:val="en-US" w:eastAsia="zh-CN"/>
            </w:rPr>
            <w:t>表</w:t>
          </w:r>
          <w:r>
            <w:rPr>
              <w:rFonts w:hint="default" w:ascii="Times New Roman" w:hAnsi="Times New Roman" w:eastAsia="宋体" w:cs="Times New Roman"/>
              <w:lang w:val="en-US" w:eastAsia="zh-CN"/>
            </w:rPr>
            <w:t>的主要结论与建议及审批部门审批决定</w:t>
          </w:r>
          <w:r>
            <w:rPr>
              <w:rFonts w:hint="eastAsia" w:ascii="Times New Roman" w:hAnsi="Times New Roman" w:eastAsia="宋体" w:cs="Times New Roman"/>
              <w:lang w:val="en-US" w:eastAsia="zh-CN"/>
            </w:rPr>
            <w:t>.</w:t>
          </w:r>
          <w:r>
            <w:tab/>
          </w:r>
          <w:r>
            <w:fldChar w:fldCharType="begin"/>
          </w:r>
          <w:r>
            <w:instrText xml:space="preserve"> PAGEREF _Toc25090 </w:instrText>
          </w:r>
          <w:r>
            <w:fldChar w:fldCharType="separate"/>
          </w:r>
          <w:r>
            <w:t>11</w:t>
          </w:r>
          <w:r>
            <w:fldChar w:fldCharType="end"/>
          </w:r>
          <w:r>
            <w:rPr>
              <w:rFonts w:hint="default"/>
              <w:lang w:eastAsia="zh-CN"/>
            </w:rPr>
            <w:fldChar w:fldCharType="end"/>
          </w:r>
        </w:p>
        <w:p w14:paraId="63CFBAA6">
          <w:pPr>
            <w:pStyle w:val="12"/>
            <w:tabs>
              <w:tab w:val="right" w:leader="dot" w:pos="8306"/>
            </w:tabs>
          </w:pPr>
          <w:r>
            <w:rPr>
              <w:rFonts w:hint="default"/>
              <w:lang w:eastAsia="zh-CN"/>
            </w:rPr>
            <w:fldChar w:fldCharType="begin"/>
          </w:r>
          <w:r>
            <w:rPr>
              <w:rFonts w:hint="default"/>
              <w:lang w:eastAsia="zh-CN"/>
            </w:rPr>
            <w:instrText xml:space="preserve"> HYPERLINK \l _Toc2947 </w:instrText>
          </w:r>
          <w:r>
            <w:rPr>
              <w:rFonts w:hint="default"/>
              <w:lang w:eastAsia="zh-CN"/>
            </w:rPr>
            <w:fldChar w:fldCharType="separate"/>
          </w:r>
          <w:r>
            <w:rPr>
              <w:rFonts w:hint="default" w:ascii="Times New Roman" w:hAnsi="Times New Roman" w:eastAsia="宋体" w:cs="Times New Roman"/>
              <w:bCs/>
              <w:lang w:val="en-US" w:eastAsia="zh-CN"/>
            </w:rPr>
            <w:t>5.1建设项目环评报告</w:t>
          </w:r>
          <w:r>
            <w:rPr>
              <w:rFonts w:hint="eastAsia" w:cs="Times New Roman"/>
              <w:bCs/>
              <w:lang w:val="en-US" w:eastAsia="zh-CN"/>
            </w:rPr>
            <w:t>表</w:t>
          </w:r>
          <w:r>
            <w:rPr>
              <w:rFonts w:hint="default" w:ascii="Times New Roman" w:hAnsi="Times New Roman" w:eastAsia="宋体" w:cs="Times New Roman"/>
              <w:bCs/>
              <w:lang w:val="en-US" w:eastAsia="zh-CN"/>
            </w:rPr>
            <w:t>的主要结论与建议</w:t>
          </w:r>
          <w:r>
            <w:tab/>
          </w:r>
          <w:r>
            <w:rPr>
              <w:rFonts w:hint="eastAsia"/>
              <w:lang w:val="en-US" w:eastAsia="zh-CN"/>
            </w:rPr>
            <w:t>.</w:t>
          </w:r>
          <w:r>
            <w:fldChar w:fldCharType="begin"/>
          </w:r>
          <w:r>
            <w:instrText xml:space="preserve"> PAGEREF _Toc2947 </w:instrText>
          </w:r>
          <w:r>
            <w:fldChar w:fldCharType="separate"/>
          </w:r>
          <w:r>
            <w:t>11</w:t>
          </w:r>
          <w:r>
            <w:fldChar w:fldCharType="end"/>
          </w:r>
          <w:r>
            <w:rPr>
              <w:rFonts w:hint="default"/>
              <w:lang w:eastAsia="zh-CN"/>
            </w:rPr>
            <w:fldChar w:fldCharType="end"/>
          </w:r>
        </w:p>
        <w:p w14:paraId="2014655A">
          <w:pPr>
            <w:pStyle w:val="12"/>
            <w:tabs>
              <w:tab w:val="right" w:leader="dot" w:pos="8306"/>
            </w:tabs>
          </w:pPr>
          <w:r>
            <w:rPr>
              <w:rFonts w:hint="default"/>
              <w:lang w:eastAsia="zh-CN"/>
            </w:rPr>
            <w:fldChar w:fldCharType="begin"/>
          </w:r>
          <w:r>
            <w:rPr>
              <w:rFonts w:hint="default"/>
              <w:lang w:eastAsia="zh-CN"/>
            </w:rPr>
            <w:instrText xml:space="preserve"> HYPERLINK \l _Toc11176 </w:instrText>
          </w:r>
          <w:r>
            <w:rPr>
              <w:rFonts w:hint="default"/>
              <w:lang w:eastAsia="zh-CN"/>
            </w:rPr>
            <w:fldChar w:fldCharType="separate"/>
          </w:r>
          <w:r>
            <w:rPr>
              <w:rFonts w:hint="default" w:ascii="Times New Roman" w:hAnsi="Times New Roman" w:eastAsia="宋体" w:cs="Times New Roman"/>
              <w:bCs/>
              <w:szCs w:val="24"/>
              <w:lang w:val="en-US" w:eastAsia="zh-CN"/>
            </w:rPr>
            <w:t>5.2审批部门审批决定</w:t>
          </w:r>
          <w:r>
            <w:rPr>
              <w:rFonts w:hint="eastAsia" w:cs="Times New Roman"/>
              <w:bCs/>
              <w:szCs w:val="24"/>
              <w:lang w:val="en-US" w:eastAsia="zh-CN"/>
            </w:rPr>
            <w:t>（萧环建[2024]144号）</w:t>
          </w:r>
          <w:r>
            <w:tab/>
          </w:r>
          <w:r>
            <w:fldChar w:fldCharType="begin"/>
          </w:r>
          <w:r>
            <w:instrText xml:space="preserve"> PAGEREF _Toc11176 </w:instrText>
          </w:r>
          <w:r>
            <w:fldChar w:fldCharType="separate"/>
          </w:r>
          <w:r>
            <w:t>14</w:t>
          </w:r>
          <w:r>
            <w:fldChar w:fldCharType="end"/>
          </w:r>
          <w:r>
            <w:rPr>
              <w:rFonts w:hint="default"/>
              <w:lang w:eastAsia="zh-CN"/>
            </w:rPr>
            <w:fldChar w:fldCharType="end"/>
          </w:r>
        </w:p>
        <w:p w14:paraId="46EA14E0">
          <w:pPr>
            <w:pStyle w:val="11"/>
            <w:tabs>
              <w:tab w:val="right" w:leader="dot" w:pos="8306"/>
              <w:tab w:val="clear" w:pos="8296"/>
            </w:tabs>
          </w:pPr>
          <w:r>
            <w:rPr>
              <w:rFonts w:hint="default"/>
              <w:lang w:eastAsia="zh-CN"/>
            </w:rPr>
            <w:fldChar w:fldCharType="begin"/>
          </w:r>
          <w:r>
            <w:rPr>
              <w:rFonts w:hint="default"/>
              <w:lang w:eastAsia="zh-CN"/>
            </w:rPr>
            <w:instrText xml:space="preserve"> HYPERLINK \l _Toc29162 </w:instrText>
          </w:r>
          <w:r>
            <w:rPr>
              <w:rFonts w:hint="default"/>
              <w:lang w:eastAsia="zh-CN"/>
            </w:rPr>
            <w:fldChar w:fldCharType="separate"/>
          </w:r>
          <w:r>
            <w:rPr>
              <w:rFonts w:hint="eastAsia" w:ascii="Times New Roman" w:hAnsi="Times New Roman" w:eastAsia="宋体" w:cs="Times New Roman"/>
              <w:bCs w:val="0"/>
              <w:szCs w:val="30"/>
              <w:lang w:val="en-US" w:eastAsia="zh-CN"/>
            </w:rPr>
            <w:t xml:space="preserve">六、 </w:t>
          </w:r>
          <w:r>
            <w:rPr>
              <w:rFonts w:hint="default" w:ascii="Times New Roman" w:hAnsi="Times New Roman" w:eastAsia="宋体" w:cs="Times New Roman"/>
              <w:bCs w:val="0"/>
              <w:szCs w:val="30"/>
              <w:lang w:val="en-US" w:eastAsia="zh-CN"/>
            </w:rPr>
            <w:t>验收执行标准</w:t>
          </w:r>
          <w:r>
            <w:rPr>
              <w:rFonts w:hint="eastAsia" w:ascii="Times New Roman" w:hAnsi="Times New Roman" w:eastAsia="宋体" w:cs="Times New Roman"/>
              <w:bCs w:val="0"/>
              <w:szCs w:val="30"/>
              <w:lang w:val="en-US" w:eastAsia="zh-CN"/>
            </w:rPr>
            <w:t>..</w:t>
          </w:r>
          <w:r>
            <w:tab/>
          </w:r>
          <w:r>
            <w:fldChar w:fldCharType="begin"/>
          </w:r>
          <w:r>
            <w:instrText xml:space="preserve"> PAGEREF _Toc29162 </w:instrText>
          </w:r>
          <w:r>
            <w:fldChar w:fldCharType="separate"/>
          </w:r>
          <w:r>
            <w:t>15</w:t>
          </w:r>
          <w:r>
            <w:fldChar w:fldCharType="end"/>
          </w:r>
          <w:r>
            <w:rPr>
              <w:rFonts w:hint="default"/>
              <w:lang w:eastAsia="zh-CN"/>
            </w:rPr>
            <w:fldChar w:fldCharType="end"/>
          </w:r>
        </w:p>
        <w:p w14:paraId="7B8AE779">
          <w:pPr>
            <w:pStyle w:val="12"/>
            <w:tabs>
              <w:tab w:val="right" w:leader="dot" w:pos="8306"/>
            </w:tabs>
          </w:pPr>
          <w:r>
            <w:rPr>
              <w:rFonts w:hint="default"/>
              <w:lang w:eastAsia="zh-CN"/>
            </w:rPr>
            <w:fldChar w:fldCharType="begin"/>
          </w:r>
          <w:r>
            <w:rPr>
              <w:rFonts w:hint="default"/>
              <w:lang w:eastAsia="zh-CN"/>
            </w:rPr>
            <w:instrText xml:space="preserve"> HYPERLINK \l _Toc3828 </w:instrText>
          </w:r>
          <w:r>
            <w:rPr>
              <w:rFonts w:hint="default"/>
              <w:lang w:eastAsia="zh-CN"/>
            </w:rPr>
            <w:fldChar w:fldCharType="separate"/>
          </w:r>
          <w:r>
            <w:rPr>
              <w:rFonts w:hint="eastAsia" w:ascii="Times New Roman" w:hAnsi="Times New Roman" w:cs="Times New Roman"/>
              <w:bCs w:val="0"/>
              <w:szCs w:val="24"/>
              <w:lang w:val="en-US" w:eastAsia="zh-CN"/>
            </w:rPr>
            <w:t>6</w:t>
          </w:r>
          <w:r>
            <w:rPr>
              <w:rFonts w:hint="default" w:ascii="Times New Roman" w:hAnsi="Times New Roman" w:eastAsia="宋体" w:cs="Times New Roman"/>
              <w:bCs w:val="0"/>
              <w:szCs w:val="24"/>
              <w:lang w:val="en-US" w:eastAsia="zh-CN"/>
            </w:rPr>
            <w:t>.1废水</w:t>
          </w:r>
          <w:r>
            <w:rPr>
              <w:rFonts w:hint="eastAsia" w:ascii="Times New Roman" w:hAnsi="Times New Roman" w:eastAsia="宋体" w:cs="Times New Roman"/>
              <w:bCs w:val="0"/>
              <w:szCs w:val="24"/>
              <w:lang w:val="en-US" w:eastAsia="zh-CN"/>
            </w:rPr>
            <w:t>..</w:t>
          </w:r>
          <w:r>
            <w:tab/>
          </w:r>
          <w:r>
            <w:fldChar w:fldCharType="begin"/>
          </w:r>
          <w:r>
            <w:instrText xml:space="preserve"> PAGEREF _Toc3828 </w:instrText>
          </w:r>
          <w:r>
            <w:fldChar w:fldCharType="separate"/>
          </w:r>
          <w:r>
            <w:t>15</w:t>
          </w:r>
          <w:r>
            <w:fldChar w:fldCharType="end"/>
          </w:r>
          <w:r>
            <w:rPr>
              <w:rFonts w:hint="default"/>
              <w:lang w:eastAsia="zh-CN"/>
            </w:rPr>
            <w:fldChar w:fldCharType="end"/>
          </w:r>
        </w:p>
        <w:p w14:paraId="232DCE87">
          <w:pPr>
            <w:pStyle w:val="12"/>
            <w:tabs>
              <w:tab w:val="right" w:leader="dot" w:pos="8306"/>
            </w:tabs>
          </w:pPr>
          <w:r>
            <w:rPr>
              <w:rFonts w:hint="default"/>
              <w:lang w:eastAsia="zh-CN"/>
            </w:rPr>
            <w:fldChar w:fldCharType="begin"/>
          </w:r>
          <w:r>
            <w:rPr>
              <w:rFonts w:hint="default"/>
              <w:lang w:eastAsia="zh-CN"/>
            </w:rPr>
            <w:instrText xml:space="preserve"> HYPERLINK \l _Toc337 </w:instrText>
          </w:r>
          <w:r>
            <w:rPr>
              <w:rFonts w:hint="default"/>
              <w:lang w:eastAsia="zh-CN"/>
            </w:rPr>
            <w:fldChar w:fldCharType="separate"/>
          </w:r>
          <w:r>
            <w:rPr>
              <w:rFonts w:hint="eastAsia" w:ascii="Times New Roman" w:hAnsi="Times New Roman" w:eastAsia="宋体" w:cs="Times New Roman"/>
              <w:bCs w:val="0"/>
              <w:szCs w:val="24"/>
              <w:lang w:val="en-US" w:eastAsia="zh-CN"/>
            </w:rPr>
            <w:t>6</w:t>
          </w:r>
          <w:r>
            <w:rPr>
              <w:rFonts w:hint="default" w:ascii="Times New Roman" w:hAnsi="Times New Roman" w:eastAsia="宋体" w:cs="Times New Roman"/>
              <w:bCs w:val="0"/>
              <w:szCs w:val="24"/>
              <w:lang w:val="en-US" w:eastAsia="zh-CN"/>
            </w:rPr>
            <w:t>.2废气</w:t>
          </w:r>
          <w:r>
            <w:tab/>
          </w:r>
          <w:r>
            <w:fldChar w:fldCharType="begin"/>
          </w:r>
          <w:r>
            <w:instrText xml:space="preserve"> PAGEREF _Toc337 </w:instrText>
          </w:r>
          <w:r>
            <w:fldChar w:fldCharType="separate"/>
          </w:r>
          <w:r>
            <w:t>15</w:t>
          </w:r>
          <w:r>
            <w:fldChar w:fldCharType="end"/>
          </w:r>
          <w:r>
            <w:rPr>
              <w:rFonts w:hint="default"/>
              <w:lang w:eastAsia="zh-CN"/>
            </w:rPr>
            <w:fldChar w:fldCharType="end"/>
          </w:r>
        </w:p>
        <w:p w14:paraId="7C026DEC">
          <w:pPr>
            <w:pStyle w:val="12"/>
            <w:tabs>
              <w:tab w:val="right" w:leader="dot" w:pos="8306"/>
            </w:tabs>
          </w:pPr>
          <w:r>
            <w:rPr>
              <w:rFonts w:hint="default"/>
              <w:lang w:eastAsia="zh-CN"/>
            </w:rPr>
            <w:fldChar w:fldCharType="begin"/>
          </w:r>
          <w:r>
            <w:rPr>
              <w:rFonts w:hint="default"/>
              <w:lang w:eastAsia="zh-CN"/>
            </w:rPr>
            <w:instrText xml:space="preserve"> HYPERLINK \l _Toc17144 </w:instrText>
          </w:r>
          <w:r>
            <w:rPr>
              <w:rFonts w:hint="default"/>
              <w:lang w:eastAsia="zh-CN"/>
            </w:rPr>
            <w:fldChar w:fldCharType="separate"/>
          </w:r>
          <w:r>
            <w:rPr>
              <w:rFonts w:hint="eastAsia" w:ascii="Times New Roman" w:hAnsi="Times New Roman" w:eastAsia="宋体" w:cs="Times New Roman"/>
              <w:bCs w:val="0"/>
              <w:szCs w:val="24"/>
              <w:lang w:val="en-US" w:eastAsia="zh-CN"/>
            </w:rPr>
            <w:t>6.3噪声</w:t>
          </w:r>
          <w:r>
            <w:tab/>
          </w:r>
          <w:r>
            <w:fldChar w:fldCharType="begin"/>
          </w:r>
          <w:r>
            <w:instrText xml:space="preserve"> PAGEREF _Toc17144 </w:instrText>
          </w:r>
          <w:r>
            <w:fldChar w:fldCharType="separate"/>
          </w:r>
          <w:r>
            <w:t>15</w:t>
          </w:r>
          <w:r>
            <w:fldChar w:fldCharType="end"/>
          </w:r>
          <w:r>
            <w:rPr>
              <w:rFonts w:hint="default"/>
              <w:lang w:eastAsia="zh-CN"/>
            </w:rPr>
            <w:fldChar w:fldCharType="end"/>
          </w:r>
        </w:p>
        <w:p w14:paraId="58C24AA3">
          <w:pPr>
            <w:pStyle w:val="12"/>
            <w:tabs>
              <w:tab w:val="right" w:leader="dot" w:pos="8306"/>
            </w:tabs>
          </w:pPr>
          <w:r>
            <w:rPr>
              <w:rFonts w:hint="default"/>
              <w:lang w:eastAsia="zh-CN"/>
            </w:rPr>
            <w:fldChar w:fldCharType="begin"/>
          </w:r>
          <w:r>
            <w:rPr>
              <w:rFonts w:hint="default"/>
              <w:lang w:eastAsia="zh-CN"/>
            </w:rPr>
            <w:instrText xml:space="preserve"> HYPERLINK \l _Toc5180 </w:instrText>
          </w:r>
          <w:r>
            <w:rPr>
              <w:rFonts w:hint="default"/>
              <w:lang w:eastAsia="zh-CN"/>
            </w:rPr>
            <w:fldChar w:fldCharType="separate"/>
          </w:r>
          <w:r>
            <w:rPr>
              <w:rFonts w:hint="eastAsia" w:ascii="Times New Roman" w:hAnsi="Times New Roman" w:eastAsia="宋体" w:cs="Times New Roman"/>
              <w:bCs w:val="0"/>
              <w:szCs w:val="24"/>
              <w:lang w:val="en-US" w:eastAsia="zh-CN"/>
            </w:rPr>
            <w:t>6.4固废</w:t>
          </w:r>
          <w:r>
            <w:tab/>
          </w:r>
          <w:r>
            <w:fldChar w:fldCharType="begin"/>
          </w:r>
          <w:r>
            <w:instrText xml:space="preserve"> PAGEREF _Toc5180 </w:instrText>
          </w:r>
          <w:r>
            <w:fldChar w:fldCharType="separate"/>
          </w:r>
          <w:r>
            <w:t>15</w:t>
          </w:r>
          <w:r>
            <w:fldChar w:fldCharType="end"/>
          </w:r>
          <w:r>
            <w:rPr>
              <w:rFonts w:hint="default"/>
              <w:lang w:eastAsia="zh-CN"/>
            </w:rPr>
            <w:fldChar w:fldCharType="end"/>
          </w:r>
        </w:p>
        <w:p w14:paraId="5ECEFDE8">
          <w:pPr>
            <w:pStyle w:val="12"/>
            <w:tabs>
              <w:tab w:val="right" w:leader="dot" w:pos="8306"/>
            </w:tabs>
          </w:pPr>
          <w:r>
            <w:rPr>
              <w:rFonts w:hint="default"/>
              <w:lang w:eastAsia="zh-CN"/>
            </w:rPr>
            <w:fldChar w:fldCharType="begin"/>
          </w:r>
          <w:r>
            <w:rPr>
              <w:rFonts w:hint="default"/>
              <w:lang w:eastAsia="zh-CN"/>
            </w:rPr>
            <w:instrText xml:space="preserve"> HYPERLINK \l _Toc31863 </w:instrText>
          </w:r>
          <w:r>
            <w:rPr>
              <w:rFonts w:hint="default"/>
              <w:lang w:eastAsia="zh-CN"/>
            </w:rPr>
            <w:fldChar w:fldCharType="separate"/>
          </w:r>
          <w:r>
            <w:rPr>
              <w:rFonts w:hint="eastAsia" w:ascii="Times New Roman" w:hAnsi="Times New Roman" w:eastAsia="宋体" w:cs="Times New Roman"/>
              <w:bCs w:val="0"/>
              <w:szCs w:val="24"/>
              <w:lang w:val="en-US" w:eastAsia="zh-CN"/>
            </w:rPr>
            <w:t>6.5</w:t>
          </w:r>
          <w:r>
            <w:rPr>
              <w:rFonts w:hint="default" w:ascii="Times New Roman" w:hAnsi="Times New Roman" w:eastAsia="宋体" w:cs="Times New Roman"/>
              <w:bCs w:val="0"/>
              <w:szCs w:val="24"/>
              <w:lang w:val="en-US" w:eastAsia="zh-CN"/>
            </w:rPr>
            <w:t>总量控制指标</w:t>
          </w:r>
          <w:r>
            <w:tab/>
          </w:r>
          <w:r>
            <w:fldChar w:fldCharType="begin"/>
          </w:r>
          <w:r>
            <w:instrText xml:space="preserve"> PAGEREF _Toc31863 </w:instrText>
          </w:r>
          <w:r>
            <w:fldChar w:fldCharType="separate"/>
          </w:r>
          <w:r>
            <w:t>16</w:t>
          </w:r>
          <w:r>
            <w:fldChar w:fldCharType="end"/>
          </w:r>
          <w:r>
            <w:rPr>
              <w:rFonts w:hint="default"/>
              <w:lang w:eastAsia="zh-CN"/>
            </w:rPr>
            <w:fldChar w:fldCharType="end"/>
          </w:r>
        </w:p>
        <w:p w14:paraId="71E68298">
          <w:pPr>
            <w:pStyle w:val="11"/>
            <w:tabs>
              <w:tab w:val="right" w:leader="dot" w:pos="8306"/>
              <w:tab w:val="clear" w:pos="8296"/>
            </w:tabs>
          </w:pPr>
          <w:r>
            <w:rPr>
              <w:rFonts w:hint="default"/>
              <w:lang w:eastAsia="zh-CN"/>
            </w:rPr>
            <w:fldChar w:fldCharType="begin"/>
          </w:r>
          <w:r>
            <w:rPr>
              <w:rFonts w:hint="default"/>
              <w:lang w:eastAsia="zh-CN"/>
            </w:rPr>
            <w:instrText xml:space="preserve"> HYPERLINK \l _Toc5022 </w:instrText>
          </w:r>
          <w:r>
            <w:rPr>
              <w:rFonts w:hint="default"/>
              <w:lang w:eastAsia="zh-CN"/>
            </w:rPr>
            <w:fldChar w:fldCharType="separate"/>
          </w:r>
          <w:r>
            <w:rPr>
              <w:rFonts w:hint="default" w:ascii="Times New Roman" w:hAnsi="Times New Roman" w:eastAsia="宋体" w:cs="Times New Roman"/>
              <w:bCs w:val="0"/>
              <w:szCs w:val="30"/>
              <w:lang w:val="en-US" w:eastAsia="zh-CN"/>
            </w:rPr>
            <w:t>七、验收监测内容</w:t>
          </w:r>
          <w:r>
            <w:tab/>
          </w:r>
          <w:r>
            <w:rPr>
              <w:rFonts w:hint="eastAsia"/>
              <w:lang w:val="en-US" w:eastAsia="zh-CN"/>
            </w:rPr>
            <w:t>..</w:t>
          </w:r>
          <w:r>
            <w:fldChar w:fldCharType="begin"/>
          </w:r>
          <w:r>
            <w:instrText xml:space="preserve"> PAGEREF _Toc5022 </w:instrText>
          </w:r>
          <w:r>
            <w:fldChar w:fldCharType="separate"/>
          </w:r>
          <w:r>
            <w:t>17</w:t>
          </w:r>
          <w:r>
            <w:fldChar w:fldCharType="end"/>
          </w:r>
          <w:r>
            <w:rPr>
              <w:rFonts w:hint="default"/>
              <w:lang w:eastAsia="zh-CN"/>
            </w:rPr>
            <w:fldChar w:fldCharType="end"/>
          </w:r>
        </w:p>
        <w:p w14:paraId="68864391">
          <w:pPr>
            <w:pStyle w:val="12"/>
            <w:tabs>
              <w:tab w:val="right" w:leader="dot" w:pos="8306"/>
            </w:tabs>
          </w:pPr>
          <w:r>
            <w:rPr>
              <w:rFonts w:hint="default"/>
              <w:lang w:eastAsia="zh-CN"/>
            </w:rPr>
            <w:fldChar w:fldCharType="begin"/>
          </w:r>
          <w:r>
            <w:rPr>
              <w:rFonts w:hint="default"/>
              <w:lang w:eastAsia="zh-CN"/>
            </w:rPr>
            <w:instrText xml:space="preserve"> HYPERLINK \l _Toc29394 </w:instrText>
          </w:r>
          <w:r>
            <w:rPr>
              <w:rFonts w:hint="default"/>
              <w:lang w:eastAsia="zh-CN"/>
            </w:rPr>
            <w:fldChar w:fldCharType="separate"/>
          </w:r>
          <w:r>
            <w:rPr>
              <w:rFonts w:hint="default" w:ascii="Times New Roman" w:hAnsi="Times New Roman" w:eastAsia="宋体" w:cs="Times New Roman"/>
              <w:bCs/>
              <w:szCs w:val="28"/>
              <w:lang w:val="en-US" w:eastAsia="zh-CN"/>
            </w:rPr>
            <w:t>7.1验收监测内容和频次</w:t>
          </w:r>
          <w:r>
            <w:tab/>
          </w:r>
          <w:r>
            <w:rPr>
              <w:rFonts w:hint="eastAsia"/>
              <w:lang w:val="en-US" w:eastAsia="zh-CN"/>
            </w:rPr>
            <w:t>.</w:t>
          </w:r>
          <w:r>
            <w:fldChar w:fldCharType="begin"/>
          </w:r>
          <w:r>
            <w:instrText xml:space="preserve"> PAGEREF _Toc29394 </w:instrText>
          </w:r>
          <w:r>
            <w:fldChar w:fldCharType="separate"/>
          </w:r>
          <w:r>
            <w:t>17</w:t>
          </w:r>
          <w:r>
            <w:fldChar w:fldCharType="end"/>
          </w:r>
          <w:r>
            <w:rPr>
              <w:rFonts w:hint="default"/>
              <w:lang w:eastAsia="zh-CN"/>
            </w:rPr>
            <w:fldChar w:fldCharType="end"/>
          </w:r>
        </w:p>
        <w:p w14:paraId="59E68967">
          <w:pPr>
            <w:pStyle w:val="11"/>
            <w:tabs>
              <w:tab w:val="right" w:leader="dot" w:pos="8306"/>
              <w:tab w:val="clear" w:pos="8296"/>
            </w:tabs>
          </w:pPr>
          <w:r>
            <w:rPr>
              <w:rFonts w:hint="default"/>
              <w:lang w:eastAsia="zh-CN"/>
            </w:rPr>
            <w:fldChar w:fldCharType="begin"/>
          </w:r>
          <w:r>
            <w:rPr>
              <w:rFonts w:hint="default"/>
              <w:lang w:eastAsia="zh-CN"/>
            </w:rPr>
            <w:instrText xml:space="preserve"> HYPERLINK \l _Toc27305 </w:instrText>
          </w:r>
          <w:r>
            <w:rPr>
              <w:rFonts w:hint="default"/>
              <w:lang w:eastAsia="zh-CN"/>
            </w:rPr>
            <w:fldChar w:fldCharType="separate"/>
          </w:r>
          <w:r>
            <w:rPr>
              <w:rFonts w:hint="default" w:ascii="Times New Roman" w:hAnsi="Times New Roman" w:eastAsia="宋体" w:cs="Times New Roman"/>
              <w:bCs w:val="0"/>
              <w:szCs w:val="30"/>
              <w:lang w:val="en-US" w:eastAsia="zh-CN"/>
            </w:rPr>
            <w:t>八、质量保证及质量控制</w:t>
          </w:r>
          <w:r>
            <w:rPr>
              <w:rFonts w:hint="eastAsia" w:ascii="Times New Roman" w:hAnsi="Times New Roman" w:eastAsia="宋体" w:cs="Times New Roman"/>
              <w:bCs w:val="0"/>
              <w:szCs w:val="30"/>
              <w:lang w:val="en-US" w:eastAsia="zh-CN"/>
            </w:rPr>
            <w:t>..</w:t>
          </w:r>
          <w:r>
            <w:tab/>
          </w:r>
          <w:r>
            <w:fldChar w:fldCharType="begin"/>
          </w:r>
          <w:r>
            <w:instrText xml:space="preserve"> PAGEREF _Toc27305 </w:instrText>
          </w:r>
          <w:r>
            <w:fldChar w:fldCharType="separate"/>
          </w:r>
          <w:r>
            <w:t>18</w:t>
          </w:r>
          <w:r>
            <w:fldChar w:fldCharType="end"/>
          </w:r>
          <w:r>
            <w:rPr>
              <w:rFonts w:hint="default"/>
              <w:lang w:eastAsia="zh-CN"/>
            </w:rPr>
            <w:fldChar w:fldCharType="end"/>
          </w:r>
        </w:p>
        <w:p w14:paraId="20962ECD">
          <w:pPr>
            <w:pStyle w:val="12"/>
            <w:tabs>
              <w:tab w:val="right" w:leader="dot" w:pos="8306"/>
            </w:tabs>
          </w:pPr>
          <w:r>
            <w:rPr>
              <w:rFonts w:hint="default"/>
              <w:lang w:eastAsia="zh-CN"/>
            </w:rPr>
            <w:fldChar w:fldCharType="begin"/>
          </w:r>
          <w:r>
            <w:rPr>
              <w:rFonts w:hint="default"/>
              <w:lang w:eastAsia="zh-CN"/>
            </w:rPr>
            <w:instrText xml:space="preserve"> HYPERLINK \l _Toc30846 </w:instrText>
          </w:r>
          <w:r>
            <w:rPr>
              <w:rFonts w:hint="default"/>
              <w:lang w:eastAsia="zh-CN"/>
            </w:rPr>
            <w:fldChar w:fldCharType="separate"/>
          </w:r>
          <w:r>
            <w:rPr>
              <w:rFonts w:hint="default" w:ascii="Times New Roman" w:hAnsi="Times New Roman" w:eastAsia="宋体" w:cs="Times New Roman"/>
              <w:bCs/>
              <w:szCs w:val="28"/>
              <w:lang w:val="en-US" w:eastAsia="zh-CN"/>
            </w:rPr>
            <w:t>8.1监测分析方法</w:t>
          </w:r>
          <w:r>
            <w:rPr>
              <w:rFonts w:hint="eastAsia" w:ascii="Times New Roman" w:hAnsi="Times New Roman" w:eastAsia="宋体" w:cs="Times New Roman"/>
              <w:bCs/>
              <w:szCs w:val="28"/>
              <w:lang w:val="en-US" w:eastAsia="zh-CN"/>
            </w:rPr>
            <w:t>..</w:t>
          </w:r>
          <w:r>
            <w:tab/>
          </w:r>
          <w:r>
            <w:fldChar w:fldCharType="begin"/>
          </w:r>
          <w:r>
            <w:instrText xml:space="preserve"> PAGEREF _Toc30846 </w:instrText>
          </w:r>
          <w:r>
            <w:fldChar w:fldCharType="separate"/>
          </w:r>
          <w:r>
            <w:t>18</w:t>
          </w:r>
          <w:r>
            <w:fldChar w:fldCharType="end"/>
          </w:r>
          <w:r>
            <w:rPr>
              <w:rFonts w:hint="default"/>
              <w:lang w:eastAsia="zh-CN"/>
            </w:rPr>
            <w:fldChar w:fldCharType="end"/>
          </w:r>
        </w:p>
        <w:p w14:paraId="66A48406">
          <w:pPr>
            <w:pStyle w:val="12"/>
            <w:tabs>
              <w:tab w:val="right" w:leader="dot" w:pos="8306"/>
            </w:tabs>
          </w:pPr>
          <w:r>
            <w:rPr>
              <w:rFonts w:hint="default"/>
              <w:lang w:eastAsia="zh-CN"/>
            </w:rPr>
            <w:fldChar w:fldCharType="begin"/>
          </w:r>
          <w:r>
            <w:rPr>
              <w:rFonts w:hint="default"/>
              <w:lang w:eastAsia="zh-CN"/>
            </w:rPr>
            <w:instrText xml:space="preserve"> HYPERLINK \l _Toc3550 </w:instrText>
          </w:r>
          <w:r>
            <w:rPr>
              <w:rFonts w:hint="default"/>
              <w:lang w:eastAsia="zh-CN"/>
            </w:rPr>
            <w:fldChar w:fldCharType="separate"/>
          </w:r>
          <w:r>
            <w:rPr>
              <w:rFonts w:hint="default" w:ascii="Times New Roman" w:hAnsi="Times New Roman" w:eastAsia="宋体" w:cs="Times New Roman"/>
              <w:bCs/>
              <w:szCs w:val="24"/>
              <w:lang w:val="en-US" w:eastAsia="zh-CN"/>
            </w:rPr>
            <w:t>8.2监测仪器分析</w:t>
          </w:r>
          <w:r>
            <w:tab/>
          </w:r>
          <w:r>
            <w:fldChar w:fldCharType="begin"/>
          </w:r>
          <w:r>
            <w:instrText xml:space="preserve"> PAGEREF _Toc3550 </w:instrText>
          </w:r>
          <w:r>
            <w:fldChar w:fldCharType="separate"/>
          </w:r>
          <w:r>
            <w:t>18</w:t>
          </w:r>
          <w:r>
            <w:fldChar w:fldCharType="end"/>
          </w:r>
          <w:r>
            <w:rPr>
              <w:rFonts w:hint="default"/>
              <w:lang w:eastAsia="zh-CN"/>
            </w:rPr>
            <w:fldChar w:fldCharType="end"/>
          </w:r>
        </w:p>
        <w:p w14:paraId="6FFED3F8">
          <w:pPr>
            <w:pStyle w:val="12"/>
            <w:tabs>
              <w:tab w:val="right" w:leader="dot" w:pos="8306"/>
            </w:tabs>
          </w:pPr>
          <w:r>
            <w:rPr>
              <w:rFonts w:hint="default"/>
              <w:lang w:eastAsia="zh-CN"/>
            </w:rPr>
            <w:fldChar w:fldCharType="begin"/>
          </w:r>
          <w:r>
            <w:rPr>
              <w:rFonts w:hint="default"/>
              <w:lang w:eastAsia="zh-CN"/>
            </w:rPr>
            <w:instrText xml:space="preserve"> HYPERLINK \l _Toc29778 </w:instrText>
          </w:r>
          <w:r>
            <w:rPr>
              <w:rFonts w:hint="default"/>
              <w:lang w:eastAsia="zh-CN"/>
            </w:rPr>
            <w:fldChar w:fldCharType="separate"/>
          </w:r>
          <w:r>
            <w:rPr>
              <w:rFonts w:hint="default" w:ascii="Times New Roman" w:hAnsi="Times New Roman" w:eastAsia="宋体" w:cs="Times New Roman"/>
              <w:lang w:val="en-US" w:eastAsia="zh-CN"/>
            </w:rPr>
            <w:t>8.3人员资质</w:t>
          </w:r>
          <w:r>
            <w:tab/>
          </w:r>
          <w:r>
            <w:fldChar w:fldCharType="begin"/>
          </w:r>
          <w:r>
            <w:instrText xml:space="preserve"> PAGEREF _Toc29778 </w:instrText>
          </w:r>
          <w:r>
            <w:fldChar w:fldCharType="separate"/>
          </w:r>
          <w:r>
            <w:t>18</w:t>
          </w:r>
          <w:r>
            <w:fldChar w:fldCharType="end"/>
          </w:r>
          <w:r>
            <w:rPr>
              <w:rFonts w:hint="default"/>
              <w:lang w:eastAsia="zh-CN"/>
            </w:rPr>
            <w:fldChar w:fldCharType="end"/>
          </w:r>
        </w:p>
        <w:p w14:paraId="198740E5">
          <w:pPr>
            <w:pStyle w:val="12"/>
            <w:tabs>
              <w:tab w:val="right" w:leader="dot" w:pos="8306"/>
            </w:tabs>
          </w:pPr>
          <w:r>
            <w:rPr>
              <w:rFonts w:hint="default"/>
              <w:lang w:eastAsia="zh-CN"/>
            </w:rPr>
            <w:fldChar w:fldCharType="begin"/>
          </w:r>
          <w:r>
            <w:rPr>
              <w:rFonts w:hint="default"/>
              <w:lang w:eastAsia="zh-CN"/>
            </w:rPr>
            <w:instrText xml:space="preserve"> HYPERLINK \l _Toc25516 </w:instrText>
          </w:r>
          <w:r>
            <w:rPr>
              <w:rFonts w:hint="default"/>
              <w:lang w:eastAsia="zh-CN"/>
            </w:rPr>
            <w:fldChar w:fldCharType="separate"/>
          </w:r>
          <w:r>
            <w:rPr>
              <w:rFonts w:hint="default" w:ascii="Times New Roman" w:hAnsi="Times New Roman" w:eastAsia="宋体" w:cs="Times New Roman"/>
              <w:lang w:val="en-US" w:eastAsia="zh-CN"/>
            </w:rPr>
            <w:t>8.4质量保证及质量控制</w:t>
          </w:r>
          <w:r>
            <w:tab/>
          </w:r>
          <w:r>
            <w:fldChar w:fldCharType="begin"/>
          </w:r>
          <w:r>
            <w:instrText xml:space="preserve"> PAGEREF _Toc25516 </w:instrText>
          </w:r>
          <w:r>
            <w:fldChar w:fldCharType="separate"/>
          </w:r>
          <w:r>
            <w:t>18</w:t>
          </w:r>
          <w:r>
            <w:fldChar w:fldCharType="end"/>
          </w:r>
          <w:r>
            <w:rPr>
              <w:rFonts w:hint="default"/>
              <w:lang w:eastAsia="zh-CN"/>
            </w:rPr>
            <w:fldChar w:fldCharType="end"/>
          </w:r>
        </w:p>
        <w:p w14:paraId="7FDACCA0">
          <w:pPr>
            <w:pStyle w:val="11"/>
            <w:tabs>
              <w:tab w:val="right" w:leader="dot" w:pos="8306"/>
              <w:tab w:val="clear" w:pos="8296"/>
            </w:tabs>
          </w:pPr>
          <w:r>
            <w:rPr>
              <w:rFonts w:hint="default"/>
              <w:lang w:eastAsia="zh-CN"/>
            </w:rPr>
            <w:fldChar w:fldCharType="begin"/>
          </w:r>
          <w:r>
            <w:rPr>
              <w:rFonts w:hint="default"/>
              <w:lang w:eastAsia="zh-CN"/>
            </w:rPr>
            <w:instrText xml:space="preserve"> HYPERLINK \l _Toc10793 </w:instrText>
          </w:r>
          <w:r>
            <w:rPr>
              <w:rFonts w:hint="default"/>
              <w:lang w:eastAsia="zh-CN"/>
            </w:rPr>
            <w:fldChar w:fldCharType="separate"/>
          </w:r>
          <w:r>
            <w:rPr>
              <w:rFonts w:hint="default" w:ascii="Times New Roman" w:hAnsi="Times New Roman" w:eastAsia="宋体" w:cs="Times New Roman"/>
              <w:lang w:eastAsia="zh-CN"/>
            </w:rPr>
            <w:t>九、验收监测工况</w:t>
          </w:r>
          <w:r>
            <w:tab/>
          </w:r>
          <w:r>
            <w:rPr>
              <w:rFonts w:hint="eastAsia"/>
              <w:lang w:val="en-US" w:eastAsia="zh-CN"/>
            </w:rPr>
            <w:t>..</w:t>
          </w:r>
          <w:r>
            <w:fldChar w:fldCharType="begin"/>
          </w:r>
          <w:r>
            <w:instrText xml:space="preserve"> PAGEREF _Toc10793 </w:instrText>
          </w:r>
          <w:r>
            <w:fldChar w:fldCharType="separate"/>
          </w:r>
          <w:r>
            <w:t>19</w:t>
          </w:r>
          <w:r>
            <w:fldChar w:fldCharType="end"/>
          </w:r>
          <w:r>
            <w:rPr>
              <w:rFonts w:hint="default"/>
              <w:lang w:eastAsia="zh-CN"/>
            </w:rPr>
            <w:fldChar w:fldCharType="end"/>
          </w:r>
        </w:p>
        <w:p w14:paraId="5BFF5D12">
          <w:pPr>
            <w:pStyle w:val="12"/>
            <w:tabs>
              <w:tab w:val="right" w:leader="dot" w:pos="8306"/>
            </w:tabs>
          </w:pPr>
          <w:r>
            <w:rPr>
              <w:rFonts w:hint="default"/>
              <w:lang w:eastAsia="zh-CN"/>
            </w:rPr>
            <w:fldChar w:fldCharType="begin"/>
          </w:r>
          <w:r>
            <w:rPr>
              <w:rFonts w:hint="default"/>
              <w:lang w:eastAsia="zh-CN"/>
            </w:rPr>
            <w:instrText xml:space="preserve"> HYPERLINK \l _Toc25350 </w:instrText>
          </w:r>
          <w:r>
            <w:rPr>
              <w:rFonts w:hint="default"/>
              <w:lang w:eastAsia="zh-CN"/>
            </w:rPr>
            <w:fldChar w:fldCharType="separate"/>
          </w:r>
          <w:r>
            <w:rPr>
              <w:rFonts w:hint="eastAsia" w:cs="Times New Roman"/>
              <w:bCs/>
              <w:lang w:val="en-US" w:eastAsia="zh-CN"/>
            </w:rPr>
            <w:t>1、</w:t>
          </w:r>
          <w:r>
            <w:rPr>
              <w:rFonts w:hint="default" w:ascii="Times New Roman" w:hAnsi="Times New Roman" w:eastAsia="宋体" w:cs="Times New Roman"/>
              <w:bCs/>
            </w:rPr>
            <w:t>验收检测期间运行工况</w:t>
          </w:r>
          <w:r>
            <w:rPr>
              <w:rFonts w:hint="eastAsia" w:ascii="Times New Roman" w:hAnsi="Times New Roman" w:eastAsia="宋体" w:cs="Times New Roman"/>
              <w:bCs/>
              <w:lang w:val="en-US" w:eastAsia="zh-CN"/>
            </w:rPr>
            <w:t>..</w:t>
          </w:r>
          <w:r>
            <w:tab/>
          </w:r>
          <w:r>
            <w:fldChar w:fldCharType="begin"/>
          </w:r>
          <w:r>
            <w:instrText xml:space="preserve"> PAGEREF _Toc25350 </w:instrText>
          </w:r>
          <w:r>
            <w:fldChar w:fldCharType="separate"/>
          </w:r>
          <w:r>
            <w:t>19</w:t>
          </w:r>
          <w:r>
            <w:fldChar w:fldCharType="end"/>
          </w:r>
          <w:r>
            <w:rPr>
              <w:rFonts w:hint="default"/>
              <w:lang w:eastAsia="zh-CN"/>
            </w:rPr>
            <w:fldChar w:fldCharType="end"/>
          </w:r>
        </w:p>
        <w:p w14:paraId="25E43B97">
          <w:pPr>
            <w:pStyle w:val="12"/>
            <w:tabs>
              <w:tab w:val="right" w:leader="dot" w:pos="8306"/>
            </w:tabs>
          </w:pPr>
          <w:r>
            <w:rPr>
              <w:rFonts w:hint="default"/>
              <w:lang w:eastAsia="zh-CN"/>
            </w:rPr>
            <w:fldChar w:fldCharType="begin"/>
          </w:r>
          <w:r>
            <w:rPr>
              <w:rFonts w:hint="default"/>
              <w:lang w:eastAsia="zh-CN"/>
            </w:rPr>
            <w:instrText xml:space="preserve"> HYPERLINK \l _Toc30118 </w:instrText>
          </w:r>
          <w:r>
            <w:rPr>
              <w:rFonts w:hint="default"/>
              <w:lang w:eastAsia="zh-CN"/>
            </w:rPr>
            <w:fldChar w:fldCharType="separate"/>
          </w:r>
          <w:r>
            <w:rPr>
              <w:rFonts w:hint="eastAsia" w:ascii="Times New Roman" w:hAnsi="Times New Roman" w:cs="Times New Roman"/>
              <w:bCs/>
              <w:lang w:val="en-US" w:eastAsia="zh-CN"/>
            </w:rPr>
            <w:t>2、</w:t>
          </w:r>
          <w:r>
            <w:rPr>
              <w:rFonts w:hint="default" w:ascii="Times New Roman" w:hAnsi="Times New Roman" w:eastAsia="宋体" w:cs="Times New Roman"/>
              <w:bCs/>
              <w:lang w:val="en-US" w:eastAsia="zh-CN"/>
            </w:rPr>
            <w:t>污染物达标排</w:t>
          </w:r>
          <w:r>
            <w:rPr>
              <w:rFonts w:hint="eastAsia" w:ascii="Times New Roman" w:hAnsi="Times New Roman" w:eastAsia="宋体" w:cs="Times New Roman"/>
              <w:bCs/>
              <w:lang w:val="en-US" w:eastAsia="zh-CN"/>
            </w:rPr>
            <w:t>放监测结果</w:t>
          </w:r>
          <w:r>
            <w:tab/>
          </w:r>
          <w:r>
            <w:fldChar w:fldCharType="begin"/>
          </w:r>
          <w:r>
            <w:instrText xml:space="preserve"> PAGEREF _Toc30118 </w:instrText>
          </w:r>
          <w:r>
            <w:fldChar w:fldCharType="separate"/>
          </w:r>
          <w:r>
            <w:t>19</w:t>
          </w:r>
          <w:r>
            <w:fldChar w:fldCharType="end"/>
          </w:r>
          <w:r>
            <w:rPr>
              <w:rFonts w:hint="default"/>
              <w:lang w:eastAsia="zh-CN"/>
            </w:rPr>
            <w:fldChar w:fldCharType="end"/>
          </w:r>
        </w:p>
        <w:p w14:paraId="36139384">
          <w:pPr>
            <w:pStyle w:val="11"/>
            <w:tabs>
              <w:tab w:val="right" w:leader="dot" w:pos="8306"/>
              <w:tab w:val="clear" w:pos="8296"/>
            </w:tabs>
          </w:pPr>
          <w:r>
            <w:rPr>
              <w:rFonts w:hint="default"/>
              <w:lang w:eastAsia="zh-CN"/>
            </w:rPr>
            <w:fldChar w:fldCharType="begin"/>
          </w:r>
          <w:r>
            <w:rPr>
              <w:rFonts w:hint="default"/>
              <w:lang w:eastAsia="zh-CN"/>
            </w:rPr>
            <w:instrText xml:space="preserve"> HYPERLINK \l _Toc8080 </w:instrText>
          </w:r>
          <w:r>
            <w:rPr>
              <w:rFonts w:hint="default"/>
              <w:lang w:eastAsia="zh-CN"/>
            </w:rPr>
            <w:fldChar w:fldCharType="separate"/>
          </w:r>
          <w:r>
            <w:rPr>
              <w:rFonts w:hint="default" w:ascii="Times New Roman" w:hAnsi="Times New Roman" w:eastAsia="宋体" w:cs="Times New Roman"/>
              <w:lang w:val="en-US" w:eastAsia="zh-CN"/>
            </w:rPr>
            <w:t>十、验收监测结论及建议</w:t>
          </w:r>
          <w:r>
            <w:rPr>
              <w:rFonts w:hint="eastAsia" w:ascii="Times New Roman" w:hAnsi="Times New Roman" w:eastAsia="宋体" w:cs="Times New Roman"/>
              <w:lang w:val="en-US" w:eastAsia="zh-CN"/>
            </w:rPr>
            <w:t>.</w:t>
          </w:r>
          <w:r>
            <w:tab/>
          </w:r>
          <w:r>
            <w:rPr>
              <w:rFonts w:hint="eastAsia"/>
              <w:lang w:val="en-US" w:eastAsia="zh-CN"/>
            </w:rPr>
            <w:t>.</w:t>
          </w:r>
          <w:r>
            <w:fldChar w:fldCharType="begin"/>
          </w:r>
          <w:r>
            <w:instrText xml:space="preserve"> PAGEREF _Toc8080 </w:instrText>
          </w:r>
          <w:r>
            <w:fldChar w:fldCharType="separate"/>
          </w:r>
          <w:r>
            <w:t>24</w:t>
          </w:r>
          <w:r>
            <w:fldChar w:fldCharType="end"/>
          </w:r>
          <w:r>
            <w:rPr>
              <w:rFonts w:hint="default"/>
              <w:lang w:eastAsia="zh-CN"/>
            </w:rPr>
            <w:fldChar w:fldCharType="end"/>
          </w:r>
        </w:p>
        <w:p w14:paraId="49F5F5DC">
          <w:pPr>
            <w:pStyle w:val="12"/>
            <w:tabs>
              <w:tab w:val="right" w:leader="dot" w:pos="8306"/>
            </w:tabs>
          </w:pPr>
          <w:r>
            <w:rPr>
              <w:rFonts w:hint="default"/>
              <w:lang w:eastAsia="zh-CN"/>
            </w:rPr>
            <w:fldChar w:fldCharType="begin"/>
          </w:r>
          <w:r>
            <w:rPr>
              <w:rFonts w:hint="default"/>
              <w:lang w:eastAsia="zh-CN"/>
            </w:rPr>
            <w:instrText xml:space="preserve"> HYPERLINK \l _Toc28710 </w:instrText>
          </w:r>
          <w:r>
            <w:rPr>
              <w:rFonts w:hint="default"/>
              <w:lang w:eastAsia="zh-CN"/>
            </w:rPr>
            <w:fldChar w:fldCharType="separate"/>
          </w:r>
          <w:r>
            <w:rPr>
              <w:rFonts w:hint="eastAsia" w:ascii="Times New Roman" w:hAnsi="Times New Roman" w:cs="Times New Roman"/>
              <w:lang w:val="en-US" w:eastAsia="zh-CN"/>
            </w:rPr>
            <w:t>10</w:t>
          </w:r>
          <w:r>
            <w:rPr>
              <w:rFonts w:hint="default" w:ascii="Times New Roman" w:hAnsi="Times New Roman" w:eastAsia="宋体" w:cs="Times New Roman"/>
              <w:lang w:val="en-US" w:eastAsia="zh-CN"/>
            </w:rPr>
            <w:t>.1验收监测结论</w:t>
          </w:r>
          <w:r>
            <w:rPr>
              <w:rFonts w:hint="eastAsia" w:ascii="Times New Roman" w:hAnsi="Times New Roman" w:eastAsia="宋体" w:cs="Times New Roman"/>
              <w:lang w:val="en-US" w:eastAsia="zh-CN"/>
            </w:rPr>
            <w:t>.</w:t>
          </w:r>
          <w:r>
            <w:tab/>
          </w:r>
          <w:r>
            <w:rPr>
              <w:rFonts w:hint="eastAsia"/>
              <w:lang w:val="en-US" w:eastAsia="zh-CN"/>
            </w:rPr>
            <w:t>.</w:t>
          </w:r>
          <w:r>
            <w:fldChar w:fldCharType="begin"/>
          </w:r>
          <w:r>
            <w:instrText xml:space="preserve"> PAGEREF _Toc28710 </w:instrText>
          </w:r>
          <w:r>
            <w:fldChar w:fldCharType="separate"/>
          </w:r>
          <w:r>
            <w:t>24</w:t>
          </w:r>
          <w:r>
            <w:fldChar w:fldCharType="end"/>
          </w:r>
          <w:r>
            <w:rPr>
              <w:rFonts w:hint="default"/>
              <w:lang w:eastAsia="zh-CN"/>
            </w:rPr>
            <w:fldChar w:fldCharType="end"/>
          </w:r>
        </w:p>
        <w:p w14:paraId="1FE020F5">
          <w:pPr>
            <w:pStyle w:val="12"/>
            <w:tabs>
              <w:tab w:val="right" w:leader="dot" w:pos="8306"/>
            </w:tabs>
          </w:pPr>
          <w:r>
            <w:rPr>
              <w:rFonts w:hint="default"/>
              <w:lang w:eastAsia="zh-CN"/>
            </w:rPr>
            <w:fldChar w:fldCharType="begin"/>
          </w:r>
          <w:r>
            <w:rPr>
              <w:rFonts w:hint="default"/>
              <w:lang w:eastAsia="zh-CN"/>
            </w:rPr>
            <w:instrText xml:space="preserve"> HYPERLINK \l _Toc30807 </w:instrText>
          </w:r>
          <w:r>
            <w:rPr>
              <w:rFonts w:hint="default"/>
              <w:lang w:eastAsia="zh-CN"/>
            </w:rPr>
            <w:fldChar w:fldCharType="separate"/>
          </w:r>
          <w:r>
            <w:rPr>
              <w:rFonts w:hint="default" w:ascii="Times New Roman" w:hAnsi="Times New Roman" w:eastAsia="宋体" w:cs="Times New Roman"/>
              <w:bCs/>
              <w:szCs w:val="24"/>
              <w:lang w:val="en-US" w:eastAsia="zh-CN"/>
            </w:rPr>
            <w:t>10.2</w:t>
          </w:r>
          <w:r>
            <w:rPr>
              <w:rFonts w:hint="default" w:ascii="Times New Roman" w:hAnsi="Times New Roman" w:eastAsia="宋体" w:cs="Times New Roman"/>
              <w:bCs/>
              <w:szCs w:val="24"/>
              <w:lang w:val="zh-CN" w:eastAsia="zh-CN"/>
            </w:rPr>
            <w:t>建议</w:t>
          </w:r>
          <w:r>
            <w:tab/>
          </w:r>
          <w:r>
            <w:fldChar w:fldCharType="begin"/>
          </w:r>
          <w:r>
            <w:instrText xml:space="preserve"> PAGEREF _Toc30807 </w:instrText>
          </w:r>
          <w:r>
            <w:fldChar w:fldCharType="separate"/>
          </w:r>
          <w:r>
            <w:t>24</w:t>
          </w:r>
          <w:r>
            <w:fldChar w:fldCharType="end"/>
          </w:r>
          <w:r>
            <w:rPr>
              <w:rFonts w:hint="default"/>
              <w:lang w:eastAsia="zh-CN"/>
            </w:rPr>
            <w:fldChar w:fldCharType="end"/>
          </w:r>
        </w:p>
        <w:p w14:paraId="75DB7614">
          <w:pPr>
            <w:pStyle w:val="8"/>
            <w:rPr>
              <w:rFonts w:hint="default" w:asciiTheme="minorHAnsi" w:hAnsiTheme="minorHAnsi" w:eastAsiaTheme="minorEastAsia" w:cstheme="minorBidi"/>
              <w:b/>
              <w:kern w:val="2"/>
              <w:sz w:val="24"/>
              <w:szCs w:val="24"/>
              <w:lang w:val="en-US" w:eastAsia="zh-CN" w:bidi="ar-SA"/>
            </w:rPr>
          </w:pPr>
          <w:r>
            <w:rPr>
              <w:rFonts w:hint="default"/>
              <w:lang w:eastAsia="zh-CN"/>
            </w:rPr>
            <w:fldChar w:fldCharType="end"/>
          </w:r>
        </w:p>
      </w:sdtContent>
    </w:sdt>
    <w:p w14:paraId="64E9B897">
      <w:pPr>
        <w:pStyle w:val="8"/>
        <w:rPr>
          <w:rFonts w:hint="default" w:asciiTheme="minorHAnsi" w:hAnsiTheme="minorHAnsi" w:eastAsiaTheme="minorEastAsia" w:cstheme="minorBidi"/>
          <w:b/>
          <w:kern w:val="2"/>
          <w:sz w:val="24"/>
          <w:szCs w:val="24"/>
          <w:lang w:val="en-US" w:eastAsia="zh-CN" w:bidi="ar-SA"/>
        </w:rPr>
      </w:pPr>
    </w:p>
    <w:p w14:paraId="3FF13B18">
      <w:pPr>
        <w:pStyle w:val="4"/>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sz w:val="30"/>
          <w:szCs w:val="30"/>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0" w:name="_Toc7021"/>
    </w:p>
    <w:p w14:paraId="6DF48B3F">
      <w:pPr>
        <w:pStyle w:val="4"/>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sz w:val="30"/>
          <w:szCs w:val="30"/>
          <w:lang w:eastAsia="zh-CN"/>
        </w:rPr>
      </w:pPr>
      <w:r>
        <w:rPr>
          <w:rFonts w:hint="default" w:ascii="Times New Roman" w:hAnsi="Times New Roman" w:eastAsia="宋体" w:cs="Times New Roman"/>
          <w:sz w:val="30"/>
          <w:szCs w:val="30"/>
          <w:lang w:eastAsia="zh-CN"/>
        </w:rPr>
        <w:t>一、验收项目概况</w:t>
      </w:r>
      <w:bookmarkEnd w:id="0"/>
    </w:p>
    <w:p w14:paraId="029102FA">
      <w:pPr>
        <w:snapToGrid w:val="0"/>
        <w:spacing w:line="480" w:lineRule="exact"/>
        <w:ind w:firstLine="460" w:firstLineChars="200"/>
        <w:rPr>
          <w:rFonts w:hint="eastAsia" w:ascii="宋体" w:hAnsi="宋体" w:eastAsia="宋体" w:cs="宋体"/>
          <w:sz w:val="24"/>
          <w:szCs w:val="24"/>
          <w:lang w:eastAsia="zh-CN"/>
        </w:rPr>
      </w:pPr>
      <w:r>
        <w:rPr>
          <w:rFonts w:hint="eastAsia" w:hAnsi="宋体" w:cs="宋体"/>
          <w:sz w:val="23"/>
          <w:szCs w:val="23"/>
        </w:rPr>
        <w:t>杭州广汇包装材料有限公司成立于2003年3月14日，</w:t>
      </w:r>
      <w:r>
        <w:rPr>
          <w:rFonts w:hint="eastAsia" w:ascii="宋体" w:hAnsi="宋体" w:cs="宋体"/>
          <w:color w:val="000000"/>
          <w:sz w:val="23"/>
          <w:szCs w:val="23"/>
        </w:rPr>
        <w:t>位于</w:t>
      </w:r>
      <w:r>
        <w:rPr>
          <w:rFonts w:hint="eastAsia" w:ascii="宋体" w:hAnsi="宋体"/>
          <w:color w:val="000000"/>
          <w:sz w:val="23"/>
          <w:szCs w:val="23"/>
        </w:rPr>
        <w:t>萧山区</w:t>
      </w:r>
      <w:r>
        <w:rPr>
          <w:rFonts w:hint="eastAsia" w:hAnsi="宋体"/>
          <w:sz w:val="23"/>
          <w:szCs w:val="23"/>
        </w:rPr>
        <w:t>新塘街道联华新村（沙河沈）</w:t>
      </w:r>
      <w:r>
        <w:rPr>
          <w:rFonts w:hint="eastAsia" w:ascii="宋体" w:hAnsi="宋体"/>
          <w:color w:val="000000"/>
          <w:sz w:val="23"/>
          <w:szCs w:val="23"/>
        </w:rPr>
        <w:t>，主要从事包装装潢、其他印刷品印刷，生产：塑料制品（塑料袋）</w:t>
      </w:r>
      <w:r>
        <w:rPr>
          <w:rFonts w:hint="eastAsia" w:ascii="宋体" w:hAnsi="宋体"/>
          <w:color w:val="000000"/>
          <w:sz w:val="23"/>
          <w:szCs w:val="23"/>
          <w:lang w:eastAsia="zh-CN"/>
        </w:rPr>
        <w:t>，</w:t>
      </w:r>
      <w:r>
        <w:rPr>
          <w:rFonts w:hint="eastAsia" w:ascii="宋体" w:hAnsi="宋体" w:eastAsia="宋体" w:cs="宋体"/>
          <w:sz w:val="24"/>
          <w:szCs w:val="24"/>
          <w:lang w:val="en-US" w:eastAsia="zh-CN"/>
        </w:rPr>
        <w:t>企业环评、验收等情况见表1-1。</w:t>
      </w:r>
    </w:p>
    <w:p w14:paraId="39E71295">
      <w:pPr>
        <w:snapToGrid w:val="0"/>
        <w:spacing w:line="480" w:lineRule="exact"/>
        <w:ind w:firstLine="482" w:firstLineChars="200"/>
        <w:jc w:val="center"/>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表</w:t>
      </w:r>
      <w:r>
        <w:rPr>
          <w:rFonts w:hint="eastAsia" w:ascii="Times New Roman" w:hAnsi="Times New Roman" w:eastAsia="宋体" w:cs="Times New Roman"/>
          <w:b/>
          <w:lang w:val="en-US" w:eastAsia="zh-CN"/>
        </w:rPr>
        <w:t>1</w:t>
      </w:r>
      <w:r>
        <w:rPr>
          <w:rFonts w:hint="default" w:ascii="Times New Roman" w:hAnsi="Times New Roman" w:eastAsia="宋体" w:cs="Times New Roman"/>
          <w:b/>
          <w:lang w:val="en-US" w:eastAsia="zh-CN"/>
        </w:rPr>
        <w:t>-</w:t>
      </w:r>
      <w:r>
        <w:rPr>
          <w:rFonts w:hint="eastAsia" w:ascii="Times New Roman" w:hAnsi="Times New Roman" w:eastAsia="宋体" w:cs="Times New Roman"/>
          <w:b/>
          <w:lang w:val="en-US" w:eastAsia="zh-CN"/>
        </w:rPr>
        <w:t>1历史审批验收情况</w:t>
      </w:r>
    </w:p>
    <w:tbl>
      <w:tblPr>
        <w:tblStyle w:val="14"/>
        <w:tblW w:w="825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83"/>
        <w:gridCol w:w="1334"/>
        <w:gridCol w:w="1450"/>
        <w:gridCol w:w="2150"/>
        <w:gridCol w:w="1340"/>
      </w:tblGrid>
      <w:tr w14:paraId="672FC1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1983" w:type="dxa"/>
            <w:noWrap w:val="0"/>
            <w:vAlign w:val="center"/>
          </w:tcPr>
          <w:p w14:paraId="64585862">
            <w:pPr>
              <w:snapToGrid w:val="0"/>
              <w:spacing w:line="240" w:lineRule="auto"/>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项目名称</w:t>
            </w:r>
          </w:p>
        </w:tc>
        <w:tc>
          <w:tcPr>
            <w:tcW w:w="1334" w:type="dxa"/>
            <w:noWrap w:val="0"/>
            <w:vAlign w:val="center"/>
          </w:tcPr>
          <w:p w14:paraId="748126AE">
            <w:pPr>
              <w:snapToGrid w:val="0"/>
              <w:spacing w:line="240" w:lineRule="auto"/>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审批规模</w:t>
            </w:r>
          </w:p>
        </w:tc>
        <w:tc>
          <w:tcPr>
            <w:tcW w:w="1450" w:type="dxa"/>
            <w:noWrap w:val="0"/>
            <w:vAlign w:val="center"/>
          </w:tcPr>
          <w:p w14:paraId="4EBCE7A2">
            <w:pPr>
              <w:snapToGrid w:val="0"/>
              <w:spacing w:line="240" w:lineRule="auto"/>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环评审批情况</w:t>
            </w:r>
          </w:p>
        </w:tc>
        <w:tc>
          <w:tcPr>
            <w:tcW w:w="2150" w:type="dxa"/>
            <w:noWrap w:val="0"/>
            <w:vAlign w:val="center"/>
          </w:tcPr>
          <w:p w14:paraId="18CB3102">
            <w:pPr>
              <w:snapToGrid w:val="0"/>
              <w:spacing w:line="240" w:lineRule="auto"/>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验收情况</w:t>
            </w:r>
          </w:p>
        </w:tc>
        <w:tc>
          <w:tcPr>
            <w:tcW w:w="1340" w:type="dxa"/>
            <w:noWrap w:val="0"/>
            <w:vAlign w:val="center"/>
          </w:tcPr>
          <w:p w14:paraId="5293E1C0">
            <w:pPr>
              <w:snapToGrid w:val="0"/>
              <w:spacing w:line="240" w:lineRule="auto"/>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排污登记申领</w:t>
            </w:r>
          </w:p>
        </w:tc>
      </w:tr>
      <w:tr w14:paraId="58BCE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1" w:hRule="atLeast"/>
        </w:trPr>
        <w:tc>
          <w:tcPr>
            <w:tcW w:w="1983" w:type="dxa"/>
            <w:noWrap w:val="0"/>
            <w:vAlign w:val="center"/>
          </w:tcPr>
          <w:p w14:paraId="552EDACF">
            <w:pPr>
              <w:snapToGrid w:val="0"/>
              <w:spacing w:line="240" w:lineRule="auto"/>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杭州广汇包装材料有限公司年产300万只塑料袋技改项目</w:t>
            </w:r>
          </w:p>
        </w:tc>
        <w:tc>
          <w:tcPr>
            <w:tcW w:w="1334" w:type="dxa"/>
            <w:noWrap w:val="0"/>
            <w:vAlign w:val="center"/>
          </w:tcPr>
          <w:p w14:paraId="58018AC9">
            <w:pPr>
              <w:snapToGrid w:val="0"/>
              <w:spacing w:line="240" w:lineRule="auto"/>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年产300万只塑料袋</w:t>
            </w:r>
          </w:p>
        </w:tc>
        <w:tc>
          <w:tcPr>
            <w:tcW w:w="1450" w:type="dxa"/>
            <w:noWrap w:val="0"/>
            <w:vAlign w:val="center"/>
          </w:tcPr>
          <w:p w14:paraId="74117AEE">
            <w:pPr>
              <w:snapToGrid w:val="0"/>
              <w:spacing w:line="240" w:lineRule="auto"/>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萧环备[2017]36号</w:t>
            </w:r>
          </w:p>
        </w:tc>
        <w:tc>
          <w:tcPr>
            <w:tcW w:w="2150" w:type="dxa"/>
            <w:noWrap w:val="0"/>
            <w:vAlign w:val="center"/>
          </w:tcPr>
          <w:p w14:paraId="55282B18">
            <w:pPr>
              <w:snapToGrid w:val="0"/>
              <w:spacing w:line="240" w:lineRule="auto"/>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2018.10.30通过“废气、废水”自主验收，2019年4月10通过“噪声和固废”验收，萧环简验【2019】262号</w:t>
            </w:r>
          </w:p>
        </w:tc>
        <w:tc>
          <w:tcPr>
            <w:tcW w:w="1340" w:type="dxa"/>
            <w:noWrap w:val="0"/>
            <w:vAlign w:val="center"/>
          </w:tcPr>
          <w:p w14:paraId="0C9361F3">
            <w:pPr>
              <w:snapToGrid w:val="0"/>
              <w:spacing w:line="240" w:lineRule="auto"/>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登记编号：9133010974717640X3001Z</w:t>
            </w:r>
          </w:p>
          <w:p w14:paraId="3BD534D9">
            <w:pPr>
              <w:snapToGrid w:val="0"/>
              <w:spacing w:line="240" w:lineRule="auto"/>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（2020.4.14）</w:t>
            </w:r>
          </w:p>
        </w:tc>
      </w:tr>
    </w:tbl>
    <w:p w14:paraId="55654A76">
      <w:pPr>
        <w:pStyle w:val="7"/>
        <w:pageBreakBefore w:val="0"/>
        <w:widowControl w:val="0"/>
        <w:kinsoku/>
        <w:wordWrap/>
        <w:overflowPunct/>
        <w:topLinePunct w:val="0"/>
        <w:autoSpaceDN/>
        <w:bidi w:val="0"/>
        <w:adjustRightInd/>
        <w:snapToGrid/>
        <w:spacing w:line="360" w:lineRule="auto"/>
        <w:ind w:left="0" w:leftChars="0" w:right="0" w:rightChars="0"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后企业发展需要，淘汰原有四色印刷机1台，投资200万元，新增购置吹膜机6台、制袋机5台等设备，于2024年10月18日通过杭州市生态环境局审批，批文号：萧环建[2024]144号，审批内容为：淘汰原有四色印刷机1台，新购置吹膜机、制袋机等设备，形成年产500万只塑料袋的生产能力。项目主要设备有吹膜机6台、制袋机 15 台、四色印刷机2台、六色印刷机1台、九色印刷机1台等。</w:t>
      </w:r>
    </w:p>
    <w:p w14:paraId="532949DE">
      <w:pPr>
        <w:pStyle w:val="7"/>
        <w:pageBreakBefore w:val="0"/>
        <w:widowControl w:val="0"/>
        <w:kinsoku/>
        <w:wordWrap/>
        <w:overflowPunct/>
        <w:topLinePunct w:val="0"/>
        <w:autoSpaceDN/>
        <w:bidi w:val="0"/>
        <w:adjustRightInd/>
        <w:snapToGrid/>
        <w:spacing w:line="360" w:lineRule="auto"/>
        <w:ind w:left="0" w:leftChars="0" w:right="0" w:rightChars="0"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企业于2024年12月开工建设，2025年6年阶段性竣工，调式，2025年6月-2025年9月调试生产，2025年4月16日，领取固定污染源排污登记回执，登记编号:9133010974717640X3001Z。</w:t>
      </w:r>
    </w:p>
    <w:p w14:paraId="0F89F304">
      <w:pPr>
        <w:pStyle w:val="7"/>
        <w:pageBreakBefore w:val="0"/>
        <w:widowControl w:val="0"/>
        <w:kinsoku/>
        <w:wordWrap/>
        <w:overflowPunct/>
        <w:topLinePunct w:val="0"/>
        <w:autoSpaceDN/>
        <w:bidi w:val="0"/>
        <w:adjustRightInd/>
        <w:snapToGrid/>
        <w:spacing w:line="360" w:lineRule="auto"/>
        <w:ind w:left="0" w:leftChars="0" w:right="0" w:rightChars="0" w:firstLine="420" w:firstLineChars="0"/>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杭州广汇包装材料有限公司于2025年7月委托中昱（浙江）环境监测股份有限公司承担验收监测工作。中昱（浙江）环境监测股份有限公司于2025.06.30,2025.07.01日进行了现场采样，并收集相关资料，制定监测方案。根据监测方案组织了本项目的现场监测和实验室检测工作，在此基础上我公司编写本验收报告。通过现场调查与监测，评价该项目的废气、废水、噪声、固废排放是否达到国家相关标准要求；考核该项目环保设施建设、运行情况是否达到设计要求；该项目环评批复意见落实情况，全面反映环保管理状况并提出存在问题与对策措施。</w:t>
      </w:r>
    </w:p>
    <w:p w14:paraId="7FCB6833">
      <w:pPr>
        <w:pageBreakBefore w:val="0"/>
        <w:widowControl w:val="0"/>
        <w:kinsoku/>
        <w:wordWrap/>
        <w:overflowPunct/>
        <w:topLinePunct w:val="0"/>
        <w:autoSpaceDN/>
        <w:bidi w:val="0"/>
        <w:adjustRightInd/>
        <w:snapToGrid/>
        <w:spacing w:line="360" w:lineRule="auto"/>
        <w:ind w:left="0" w:leftChars="0" w:right="0" w:rightChars="0"/>
        <w:textAlignment w:val="auto"/>
        <w:outlineLvl w:val="0"/>
        <w:rPr>
          <w:rFonts w:hint="default" w:ascii="Times New Roman" w:hAnsi="Times New Roman" w:eastAsia="宋体" w:cs="Times New Roman"/>
          <w:b/>
          <w:bCs/>
          <w:sz w:val="30"/>
          <w:szCs w:val="30"/>
          <w:lang w:val="en-US" w:eastAsia="zh-CN"/>
        </w:rPr>
      </w:pPr>
      <w:bookmarkStart w:id="1" w:name="_Toc19066"/>
      <w:bookmarkStart w:id="2" w:name="_Toc8139"/>
      <w:bookmarkStart w:id="3" w:name="_Toc4025"/>
      <w:bookmarkStart w:id="4" w:name="_Toc31311"/>
      <w:bookmarkStart w:id="5" w:name="_Toc11196"/>
      <w:bookmarkStart w:id="6" w:name="_Toc6218"/>
      <w:bookmarkStart w:id="7" w:name="_Toc14419"/>
      <w:bookmarkStart w:id="8" w:name="_Toc16320"/>
      <w:bookmarkStart w:id="9" w:name="_Toc16862"/>
      <w:bookmarkStart w:id="10" w:name="_Toc13749"/>
      <w:bookmarkStart w:id="11" w:name="_Toc17073"/>
      <w:bookmarkStart w:id="12" w:name="_Toc9524"/>
      <w:bookmarkStart w:id="13" w:name="_Toc4682"/>
      <w:bookmarkStart w:id="14" w:name="_Toc27561"/>
      <w:bookmarkStart w:id="15" w:name="_Toc7493"/>
      <w:bookmarkStart w:id="16" w:name="_Toc27066"/>
      <w:bookmarkStart w:id="17" w:name="_Toc15343"/>
      <w:r>
        <w:rPr>
          <w:rFonts w:hint="default" w:ascii="Times New Roman" w:hAnsi="Times New Roman" w:eastAsia="宋体" w:cs="Times New Roman"/>
          <w:b/>
          <w:bCs/>
          <w:sz w:val="30"/>
          <w:szCs w:val="30"/>
          <w:lang w:val="en-US" w:eastAsia="zh-CN"/>
        </w:rPr>
        <w:t>二、验收监测依据</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06CE1334">
      <w:pPr>
        <w:pStyle w:val="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r>
        <w:rPr>
          <w:rFonts w:hint="default" w:ascii="Times New Roman" w:hAnsi="Times New Roman" w:eastAsia="宋体" w:cs="Times New Roman"/>
          <w:kern w:val="2"/>
          <w:sz w:val="24"/>
          <w:szCs w:val="24"/>
          <w:lang w:val="en-US" w:eastAsia="zh-CN" w:bidi="ar-SA"/>
        </w:rPr>
        <w:t>、中华人民共和国国务院令第682号，《建设项目环境保护管理条例》，2017年2.1月；</w:t>
      </w:r>
    </w:p>
    <w:p w14:paraId="7ECEBB60">
      <w:pPr>
        <w:pStyle w:val="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w:t>
      </w:r>
      <w:r>
        <w:rPr>
          <w:rFonts w:hint="default" w:ascii="Times New Roman" w:hAnsi="Times New Roman" w:eastAsia="宋体" w:cs="Times New Roman"/>
          <w:kern w:val="2"/>
          <w:sz w:val="24"/>
          <w:szCs w:val="24"/>
          <w:lang w:val="en-US" w:eastAsia="zh-CN" w:bidi="ar-SA"/>
        </w:rPr>
        <w:t>、环境保护部国环规环评[2017]4号，《建设项目竣工环境保护验收暂行办法》，2017年11月；</w:t>
      </w:r>
    </w:p>
    <w:p w14:paraId="53B04011">
      <w:pPr>
        <w:pStyle w:val="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w:t>
      </w:r>
      <w:r>
        <w:rPr>
          <w:rFonts w:hint="default" w:ascii="Times New Roman" w:hAnsi="Times New Roman" w:eastAsia="宋体" w:cs="Times New Roman"/>
          <w:kern w:val="2"/>
          <w:sz w:val="24"/>
          <w:szCs w:val="24"/>
          <w:lang w:val="en-US" w:eastAsia="zh-CN" w:bidi="ar-SA"/>
        </w:rPr>
        <w:t>、生态环境部公告2018年第9号，《建设项目竣工环境保护验收技术指南污染影响类》，2018年5月15日；</w:t>
      </w:r>
    </w:p>
    <w:p w14:paraId="33FE3AC7">
      <w:pPr>
        <w:pStyle w:val="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w:t>
      </w:r>
      <w:r>
        <w:rPr>
          <w:rFonts w:hint="default" w:ascii="Times New Roman" w:hAnsi="Times New Roman" w:eastAsia="宋体" w:cs="Times New Roman"/>
          <w:kern w:val="2"/>
          <w:sz w:val="24"/>
          <w:szCs w:val="24"/>
          <w:lang w:val="en-US" w:eastAsia="zh-CN" w:bidi="ar-SA"/>
        </w:rPr>
        <w:t>、《关于规范建设单位自主开展建设项目竣工环境保护验收的通知（征求意见稿）》（环境保护部办公厅函，环办环评函[2017]1235号，2017.08.03），附件《关于规范建设单位自主开展建设项目竣工环境保护验收的通知（征求意见稿）》。</w:t>
      </w:r>
    </w:p>
    <w:p w14:paraId="72859470">
      <w:pPr>
        <w:pStyle w:val="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5、</w:t>
      </w:r>
      <w:r>
        <w:rPr>
          <w:rFonts w:hint="eastAsia" w:ascii="Times New Roman" w:hAnsi="Times New Roman" w:eastAsia="宋体" w:cs="Times New Roman"/>
          <w:sz w:val="24"/>
          <w:szCs w:val="24"/>
          <w:lang w:val="en-US" w:eastAsia="zh-CN"/>
        </w:rPr>
        <w:t>杭州天添环保设计有限公司</w:t>
      </w:r>
      <w:r>
        <w:rPr>
          <w:rFonts w:hint="default" w:ascii="Times New Roman" w:hAnsi="Times New Roman" w:eastAsia="宋体" w:cs="Times New Roman"/>
          <w:sz w:val="24"/>
          <w:szCs w:val="24"/>
          <w:lang w:val="en-US" w:eastAsia="zh-CN"/>
        </w:rPr>
        <w:t>编制《</w:t>
      </w:r>
      <w:r>
        <w:rPr>
          <w:rFonts w:hint="eastAsia" w:ascii="Times New Roman" w:hAnsi="Times New Roman" w:eastAsia="宋体" w:cs="Times New Roman"/>
          <w:sz w:val="24"/>
          <w:szCs w:val="24"/>
          <w:lang w:val="en-US" w:eastAsia="zh-CN"/>
        </w:rPr>
        <w:t>杭州广汇包装材料有限公司年产500万</w:t>
      </w:r>
      <w:bookmarkStart w:id="471" w:name="_GoBack"/>
      <w:bookmarkEnd w:id="471"/>
      <w:r>
        <w:rPr>
          <w:rFonts w:hint="eastAsia" w:ascii="Times New Roman" w:hAnsi="Times New Roman" w:eastAsia="宋体" w:cs="Times New Roman"/>
          <w:sz w:val="24"/>
          <w:szCs w:val="24"/>
          <w:lang w:val="en-US" w:eastAsia="zh-CN"/>
        </w:rPr>
        <w:t>只塑料袋项目环境影响报告表</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kern w:val="2"/>
          <w:sz w:val="24"/>
          <w:szCs w:val="24"/>
          <w:lang w:val="en-US" w:eastAsia="zh-CN" w:bidi="ar-SA"/>
        </w:rPr>
        <w:t>2024年4月</w:t>
      </w:r>
      <w:r>
        <w:rPr>
          <w:rFonts w:hint="default" w:ascii="Times New Roman" w:hAnsi="Times New Roman" w:eastAsia="宋体" w:cs="Times New Roman"/>
          <w:kern w:val="2"/>
          <w:sz w:val="24"/>
          <w:szCs w:val="24"/>
          <w:lang w:val="en-US" w:eastAsia="zh-CN" w:bidi="ar-SA"/>
        </w:rPr>
        <w:t>；</w:t>
      </w:r>
    </w:p>
    <w:p w14:paraId="7397059F">
      <w:pPr>
        <w:pStyle w:val="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w:t>
      </w:r>
      <w:r>
        <w:rPr>
          <w:rFonts w:hint="eastAsia" w:ascii="Times New Roman" w:hAnsi="Times New Roman" w:eastAsia="宋体" w:cs="Times New Roman"/>
          <w:sz w:val="24"/>
          <w:szCs w:val="24"/>
          <w:lang w:val="en-US" w:eastAsia="zh-CN"/>
        </w:rPr>
        <w:t>杭州市生态环境局出具的萧环建[2024]144号批复</w:t>
      </w:r>
      <w:r>
        <w:rPr>
          <w:rFonts w:hint="default"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lang w:val="en-US" w:eastAsia="zh-CN"/>
        </w:rPr>
        <w:t>24</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lang w:val="en-US" w:eastAsia="zh-CN"/>
        </w:rPr>
        <w:t>月；</w:t>
      </w:r>
    </w:p>
    <w:p w14:paraId="40E329AB">
      <w:pPr>
        <w:pStyle w:val="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w:t>
      </w:r>
      <w:r>
        <w:rPr>
          <w:rFonts w:hint="eastAsia" w:ascii="Times New Roman" w:hAnsi="Times New Roman" w:eastAsia="宋体" w:cs="Times New Roman"/>
          <w:sz w:val="24"/>
          <w:szCs w:val="24"/>
          <w:lang w:val="en-US" w:eastAsia="zh-CN"/>
        </w:rPr>
        <w:t>中昱（浙江）环境监测股份有限公司出具的检测报告，报告编号：中昱环境（2025）检07-048号；</w:t>
      </w:r>
    </w:p>
    <w:p w14:paraId="336D45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lang w:val="en-US" w:eastAsia="zh-CN"/>
        </w:rPr>
        <w:t>、浙江省环境保护厅浙环发[2009]89号《关于印发&lt;浙江省环境保护厅建设项目竣工环境保护验收技术管理规定&gt;的通知》，2009年12月；</w:t>
      </w:r>
    </w:p>
    <w:p w14:paraId="733FD9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val="en-US" w:eastAsia="zh-CN"/>
        </w:rPr>
        <w:t>、关于发布《建设项目竣工环境保护验收暂行办法》的公告，国环规环评（2017）4号；</w:t>
      </w:r>
    </w:p>
    <w:p w14:paraId="5338DF74">
      <w:pPr>
        <w:pStyle w:val="8"/>
        <w:rPr>
          <w:rFonts w:hint="default" w:asciiTheme="minorHAnsi" w:hAnsiTheme="minorHAnsi" w:eastAsiaTheme="minorEastAsia" w:cstheme="minorBidi"/>
          <w:b/>
          <w:kern w:val="2"/>
          <w:sz w:val="24"/>
          <w:szCs w:val="24"/>
          <w:lang w:val="en-US" w:eastAsia="zh-CN" w:bidi="ar-SA"/>
        </w:rPr>
      </w:pPr>
    </w:p>
    <w:p w14:paraId="4F4DC798">
      <w:pPr>
        <w:pStyle w:val="8"/>
        <w:rPr>
          <w:rFonts w:hint="default" w:asciiTheme="minorHAnsi" w:hAnsiTheme="minorHAnsi" w:eastAsiaTheme="minorEastAsia" w:cstheme="minorBidi"/>
          <w:b/>
          <w:kern w:val="2"/>
          <w:sz w:val="24"/>
          <w:szCs w:val="24"/>
          <w:lang w:val="en-US" w:eastAsia="zh-CN" w:bidi="ar-SA"/>
        </w:rPr>
      </w:pPr>
    </w:p>
    <w:p w14:paraId="16FBFF9F">
      <w:pPr>
        <w:pStyle w:val="8"/>
        <w:rPr>
          <w:rFonts w:hint="default" w:asciiTheme="minorHAnsi" w:hAnsiTheme="minorHAnsi" w:eastAsiaTheme="minorEastAsia" w:cstheme="minorBidi"/>
          <w:b/>
          <w:kern w:val="2"/>
          <w:sz w:val="24"/>
          <w:szCs w:val="24"/>
          <w:lang w:val="en-US" w:eastAsia="zh-CN" w:bidi="ar-SA"/>
        </w:rPr>
      </w:pPr>
    </w:p>
    <w:p w14:paraId="4619D5DD">
      <w:pPr>
        <w:pStyle w:val="8"/>
        <w:rPr>
          <w:rFonts w:hint="default" w:asciiTheme="minorHAnsi" w:hAnsiTheme="minorHAnsi" w:eastAsiaTheme="minorEastAsia" w:cstheme="minorBidi"/>
          <w:b/>
          <w:kern w:val="2"/>
          <w:sz w:val="24"/>
          <w:szCs w:val="24"/>
          <w:lang w:val="en-US" w:eastAsia="zh-CN" w:bidi="ar-SA"/>
        </w:rPr>
      </w:pPr>
    </w:p>
    <w:p w14:paraId="229D54E3">
      <w:pPr>
        <w:pStyle w:val="8"/>
        <w:rPr>
          <w:rFonts w:hint="default" w:asciiTheme="minorHAnsi" w:hAnsiTheme="minorHAnsi" w:eastAsiaTheme="minorEastAsia" w:cstheme="minorBidi"/>
          <w:b/>
          <w:kern w:val="2"/>
          <w:sz w:val="24"/>
          <w:szCs w:val="24"/>
          <w:lang w:val="en-US" w:eastAsia="zh-CN" w:bidi="ar-SA"/>
        </w:rPr>
      </w:pPr>
    </w:p>
    <w:p w14:paraId="6603391F">
      <w:pPr>
        <w:pStyle w:val="8"/>
        <w:rPr>
          <w:rFonts w:hint="default" w:asciiTheme="minorHAnsi" w:hAnsiTheme="minorHAnsi" w:eastAsiaTheme="minorEastAsia" w:cstheme="minorBidi"/>
          <w:b/>
          <w:kern w:val="2"/>
          <w:sz w:val="24"/>
          <w:szCs w:val="24"/>
          <w:lang w:val="en-US" w:eastAsia="zh-CN" w:bidi="ar-SA"/>
        </w:rPr>
      </w:pPr>
    </w:p>
    <w:p w14:paraId="62CF44F4">
      <w:pPr>
        <w:pStyle w:val="8"/>
        <w:rPr>
          <w:rFonts w:hint="default" w:asciiTheme="minorHAnsi" w:hAnsiTheme="minorHAnsi" w:eastAsiaTheme="minorEastAsia" w:cstheme="minorBidi"/>
          <w:b/>
          <w:kern w:val="2"/>
          <w:sz w:val="24"/>
          <w:szCs w:val="24"/>
          <w:lang w:val="en-US" w:eastAsia="zh-CN" w:bidi="ar-SA"/>
        </w:rPr>
      </w:pPr>
    </w:p>
    <w:p w14:paraId="4AE532C6">
      <w:pPr>
        <w:pStyle w:val="8"/>
        <w:rPr>
          <w:rFonts w:hint="default" w:asciiTheme="minorHAnsi" w:hAnsiTheme="minorHAnsi" w:eastAsiaTheme="minorEastAsia" w:cstheme="minorBidi"/>
          <w:b/>
          <w:kern w:val="2"/>
          <w:sz w:val="24"/>
          <w:szCs w:val="24"/>
          <w:lang w:val="en-US" w:eastAsia="zh-CN" w:bidi="ar-SA"/>
        </w:rPr>
      </w:pPr>
    </w:p>
    <w:p w14:paraId="5FFC0789">
      <w:pPr>
        <w:pStyle w:val="8"/>
        <w:rPr>
          <w:rFonts w:hint="default" w:asciiTheme="minorHAnsi" w:hAnsiTheme="minorHAnsi" w:eastAsiaTheme="minorEastAsia" w:cstheme="minorBidi"/>
          <w:b/>
          <w:kern w:val="2"/>
          <w:sz w:val="24"/>
          <w:szCs w:val="24"/>
          <w:lang w:val="en-US" w:eastAsia="zh-CN" w:bidi="ar-SA"/>
        </w:rPr>
      </w:pPr>
    </w:p>
    <w:p w14:paraId="432FF4A5">
      <w:pPr>
        <w:pStyle w:val="8"/>
        <w:rPr>
          <w:rFonts w:hint="default" w:asciiTheme="minorHAnsi" w:hAnsiTheme="minorHAnsi" w:eastAsiaTheme="minorEastAsia" w:cstheme="minorBidi"/>
          <w:b/>
          <w:kern w:val="2"/>
          <w:sz w:val="24"/>
          <w:szCs w:val="24"/>
          <w:lang w:val="en-US" w:eastAsia="zh-CN" w:bidi="ar-SA"/>
        </w:rPr>
      </w:pPr>
    </w:p>
    <w:p w14:paraId="20248D72">
      <w:pPr>
        <w:pStyle w:val="8"/>
        <w:rPr>
          <w:rFonts w:hint="default" w:asciiTheme="minorHAnsi" w:hAnsiTheme="minorHAnsi" w:eastAsiaTheme="minorEastAsia" w:cstheme="minorBidi"/>
          <w:b/>
          <w:kern w:val="2"/>
          <w:sz w:val="24"/>
          <w:szCs w:val="24"/>
          <w:lang w:val="en-US" w:eastAsia="zh-CN" w:bidi="ar-SA"/>
        </w:rPr>
      </w:pPr>
    </w:p>
    <w:p w14:paraId="5BA07F34">
      <w:pPr>
        <w:pStyle w:val="8"/>
        <w:rPr>
          <w:rFonts w:hint="default" w:asciiTheme="minorHAnsi" w:hAnsiTheme="minorHAnsi" w:eastAsiaTheme="minorEastAsia" w:cstheme="minorBidi"/>
          <w:b/>
          <w:kern w:val="2"/>
          <w:sz w:val="24"/>
          <w:szCs w:val="24"/>
          <w:lang w:val="en-US" w:eastAsia="zh-CN" w:bidi="ar-SA"/>
        </w:rPr>
      </w:pPr>
    </w:p>
    <w:p w14:paraId="44FFE2D4">
      <w:pPr>
        <w:pStyle w:val="8"/>
        <w:rPr>
          <w:rFonts w:hint="default" w:asciiTheme="minorHAnsi" w:hAnsiTheme="minorHAnsi" w:eastAsiaTheme="minorEastAsia" w:cstheme="minorBidi"/>
          <w:b/>
          <w:kern w:val="2"/>
          <w:sz w:val="24"/>
          <w:szCs w:val="24"/>
          <w:lang w:val="en-US" w:eastAsia="zh-CN" w:bidi="ar-SA"/>
        </w:rPr>
      </w:pPr>
    </w:p>
    <w:p w14:paraId="2EABFEB0">
      <w:pPr>
        <w:pStyle w:val="8"/>
        <w:rPr>
          <w:rFonts w:hint="default" w:asciiTheme="minorHAnsi" w:hAnsiTheme="minorHAnsi" w:eastAsiaTheme="minorEastAsia" w:cstheme="minorBidi"/>
          <w:b/>
          <w:kern w:val="2"/>
          <w:sz w:val="24"/>
          <w:szCs w:val="24"/>
          <w:lang w:val="en-US" w:eastAsia="zh-CN" w:bidi="ar-SA"/>
        </w:rPr>
      </w:pPr>
    </w:p>
    <w:p w14:paraId="4A411BA6">
      <w:pPr>
        <w:pStyle w:val="8"/>
        <w:rPr>
          <w:rFonts w:hint="default" w:asciiTheme="minorHAnsi" w:hAnsiTheme="minorHAnsi" w:eastAsiaTheme="minorEastAsia" w:cstheme="minorBidi"/>
          <w:b/>
          <w:kern w:val="2"/>
          <w:sz w:val="24"/>
          <w:szCs w:val="24"/>
          <w:lang w:val="en-US" w:eastAsia="zh-CN" w:bidi="ar-SA"/>
        </w:rPr>
      </w:pPr>
    </w:p>
    <w:p w14:paraId="4868B2D2">
      <w:pPr>
        <w:pStyle w:val="8"/>
        <w:rPr>
          <w:rFonts w:hint="default" w:asciiTheme="minorHAnsi" w:hAnsiTheme="minorHAnsi" w:eastAsiaTheme="minorEastAsia" w:cstheme="minorBidi"/>
          <w:b/>
          <w:kern w:val="2"/>
          <w:sz w:val="24"/>
          <w:szCs w:val="24"/>
          <w:lang w:val="en-US" w:eastAsia="zh-CN" w:bidi="ar-SA"/>
        </w:rPr>
      </w:pPr>
    </w:p>
    <w:p w14:paraId="134E47FE">
      <w:pPr>
        <w:pStyle w:val="8"/>
        <w:rPr>
          <w:rFonts w:hint="default" w:asciiTheme="minorHAnsi" w:hAnsiTheme="minorHAnsi" w:eastAsiaTheme="minorEastAsia" w:cstheme="minorBidi"/>
          <w:b/>
          <w:kern w:val="2"/>
          <w:sz w:val="24"/>
          <w:szCs w:val="24"/>
          <w:lang w:val="en-US" w:eastAsia="zh-CN" w:bidi="ar-SA"/>
        </w:rPr>
      </w:pPr>
    </w:p>
    <w:p w14:paraId="38B0FAE0">
      <w:pPr>
        <w:pStyle w:val="5"/>
        <w:numPr>
          <w:ilvl w:val="0"/>
          <w:numId w:val="1"/>
        </w:numPr>
        <w:outlineLvl w:val="0"/>
        <w:rPr>
          <w:rFonts w:hint="default" w:ascii="Times New Roman" w:hAnsi="Times New Roman" w:eastAsia="宋体" w:cs="Times New Roman"/>
          <w:b/>
          <w:bCs w:val="0"/>
          <w:sz w:val="30"/>
          <w:szCs w:val="30"/>
          <w:lang w:eastAsia="zh-CN"/>
        </w:rPr>
      </w:pPr>
      <w:bookmarkStart w:id="18" w:name="_Toc14847"/>
      <w:bookmarkStart w:id="19" w:name="_Toc28393"/>
      <w:bookmarkStart w:id="20" w:name="_Toc24379"/>
      <w:bookmarkStart w:id="21" w:name="_Toc25857"/>
      <w:bookmarkStart w:id="22" w:name="_Toc9219"/>
      <w:bookmarkStart w:id="23" w:name="_Toc30550"/>
      <w:bookmarkStart w:id="24" w:name="_Toc24204"/>
      <w:bookmarkStart w:id="25" w:name="_Toc19097"/>
      <w:bookmarkStart w:id="26" w:name="_Toc13598"/>
      <w:bookmarkStart w:id="27" w:name="_Toc13078"/>
      <w:bookmarkStart w:id="28" w:name="_Toc14909"/>
      <w:bookmarkStart w:id="29" w:name="_Toc17136"/>
      <w:bookmarkStart w:id="30" w:name="_Toc32670"/>
      <w:bookmarkStart w:id="31" w:name="_Toc28793"/>
      <w:bookmarkStart w:id="32" w:name="_Toc10657"/>
      <w:bookmarkStart w:id="33" w:name="_Toc32515"/>
      <w:bookmarkStart w:id="34" w:name="_Toc22153"/>
      <w:bookmarkStart w:id="35" w:name="_Toc5421"/>
      <w:bookmarkStart w:id="36" w:name="_Toc28763"/>
      <w:bookmarkStart w:id="37" w:name="_Toc24009"/>
      <w:bookmarkStart w:id="38" w:name="_Toc19462"/>
      <w:bookmarkStart w:id="39" w:name="_Toc5333"/>
      <w:bookmarkStart w:id="40" w:name="_Toc6773"/>
      <w:bookmarkStart w:id="41" w:name="_Toc21883"/>
      <w:bookmarkStart w:id="42" w:name="_Toc10477"/>
      <w:bookmarkStart w:id="43" w:name="_Toc13655"/>
      <w:bookmarkStart w:id="44" w:name="_Toc2919"/>
      <w:bookmarkStart w:id="45" w:name="_Toc13045"/>
      <w:bookmarkStart w:id="46" w:name="_Toc23296"/>
      <w:bookmarkStart w:id="47" w:name="_Toc12483"/>
      <w:bookmarkStart w:id="48" w:name="_Toc14989"/>
      <w:bookmarkStart w:id="49" w:name="_Toc18853"/>
      <w:bookmarkStart w:id="50" w:name="_Toc2441"/>
      <w:bookmarkStart w:id="51" w:name="_Toc6863"/>
      <w:r>
        <w:rPr>
          <w:rFonts w:hint="default" w:ascii="Times New Roman" w:hAnsi="Times New Roman" w:eastAsia="宋体" w:cs="Times New Roman"/>
          <w:b/>
          <w:bCs w:val="0"/>
          <w:sz w:val="30"/>
          <w:szCs w:val="30"/>
          <w:lang w:eastAsia="zh-CN"/>
        </w:rPr>
        <w:t>工程建设情况</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bookmarkEnd w:id="40"/>
    <w:bookmarkEnd w:id="41"/>
    <w:bookmarkEnd w:id="42"/>
    <w:bookmarkEnd w:id="43"/>
    <w:bookmarkEnd w:id="44"/>
    <w:bookmarkEnd w:id="45"/>
    <w:bookmarkEnd w:id="46"/>
    <w:bookmarkEnd w:id="47"/>
    <w:bookmarkEnd w:id="48"/>
    <w:bookmarkEnd w:id="49"/>
    <w:bookmarkEnd w:id="50"/>
    <w:bookmarkEnd w:id="51"/>
    <w:p w14:paraId="6429818B">
      <w:pPr>
        <w:pStyle w:val="5"/>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1"/>
        <w:rPr>
          <w:rFonts w:hint="default" w:ascii="Times New Roman" w:hAnsi="Times New Roman" w:eastAsia="宋体" w:cs="Times New Roman"/>
          <w:b w:val="0"/>
          <w:bCs/>
        </w:rPr>
      </w:pPr>
      <w:bookmarkStart w:id="52" w:name="_Toc11386"/>
      <w:bookmarkStart w:id="53" w:name="_Toc23261"/>
      <w:bookmarkStart w:id="54" w:name="_Toc9807"/>
      <w:bookmarkStart w:id="55" w:name="_Toc25063"/>
      <w:bookmarkStart w:id="56" w:name="_Toc24573"/>
      <w:bookmarkStart w:id="57" w:name="_Toc1607"/>
      <w:bookmarkStart w:id="58" w:name="_Toc497218636"/>
      <w:bookmarkStart w:id="59" w:name="_Toc12786"/>
      <w:bookmarkStart w:id="60" w:name="_Toc12293"/>
      <w:bookmarkStart w:id="61" w:name="_Toc1761"/>
      <w:bookmarkStart w:id="62" w:name="_Toc21839"/>
      <w:bookmarkStart w:id="63" w:name="_Toc14324"/>
      <w:bookmarkStart w:id="64" w:name="_Toc27734"/>
      <w:bookmarkStart w:id="65" w:name="_Toc24994"/>
      <w:bookmarkStart w:id="66" w:name="_Toc29991"/>
      <w:bookmarkStart w:id="67" w:name="_Toc28333"/>
      <w:bookmarkStart w:id="68" w:name="_Toc10203"/>
      <w:bookmarkStart w:id="69" w:name="_Toc21405"/>
      <w:bookmarkStart w:id="70" w:name="_Toc26484"/>
      <w:bookmarkStart w:id="71" w:name="_Toc28288"/>
      <w:bookmarkStart w:id="72" w:name="_Toc27897"/>
      <w:bookmarkStart w:id="73" w:name="_Toc19866"/>
      <w:bookmarkStart w:id="74" w:name="_Toc7600"/>
      <w:bookmarkStart w:id="75" w:name="_Toc22825"/>
      <w:bookmarkStart w:id="76" w:name="_Toc19876"/>
      <w:bookmarkStart w:id="77" w:name="_Toc17628"/>
      <w:r>
        <w:rPr>
          <w:rFonts w:hint="default" w:ascii="Times New Roman" w:hAnsi="Times New Roman" w:eastAsia="宋体" w:cs="Times New Roman"/>
          <w:b w:val="0"/>
          <w:bCs/>
        </w:rPr>
        <w:t>3.1</w:t>
      </w:r>
      <w:r>
        <w:rPr>
          <w:rFonts w:hint="default" w:ascii="Times New Roman" w:hAnsi="Times New Roman" w:eastAsia="宋体" w:cs="Times New Roman"/>
          <w:b w:val="0"/>
          <w:bCs/>
          <w:lang w:eastAsia="zh-CN"/>
        </w:rPr>
        <w:t>地理位置</w:t>
      </w:r>
      <w:r>
        <w:rPr>
          <w:rFonts w:hint="default" w:ascii="Times New Roman" w:hAnsi="Times New Roman" w:eastAsia="宋体" w:cs="Times New Roman"/>
          <w:b w:val="0"/>
          <w:bCs/>
        </w:rPr>
        <w:t>及平面布置</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5FF28231">
      <w:pPr>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杭州广汇包装材料有限公司位于浙江省杭州市萧山区新塘街道联华新村。项目周边均为生产企业。本项目厂界距最近敏感点约160m(厂位于项目南侧)。</w:t>
      </w:r>
    </w:p>
    <w:p w14:paraId="0C576CF9">
      <w:pPr>
        <w:pStyle w:val="2"/>
        <w:pageBreakBefore w:val="0"/>
        <w:widowControl w:val="0"/>
        <w:kinsoku/>
        <w:wordWrap/>
        <w:overflowPunct/>
        <w:topLinePunct w:val="0"/>
        <w:autoSpaceDE/>
        <w:autoSpaceDN/>
        <w:bidi w:val="0"/>
        <w:adjustRightInd/>
        <w:snapToGrid/>
        <w:spacing w:line="360" w:lineRule="auto"/>
        <w:ind w:left="0" w:leftChars="0" w:firstLine="420" w:firstLineChars="0"/>
        <w:textAlignment w:val="auto"/>
        <w:rPr>
          <w:rFonts w:hint="default" w:ascii="Times New Roman" w:hAnsi="Times New Roman" w:eastAsia="宋体" w:cs="Times New Roman"/>
        </w:rPr>
      </w:pPr>
      <w:r>
        <w:rPr>
          <w:rFonts w:hint="default" w:ascii="Times New Roman" w:hAnsi="Times New Roman" w:eastAsia="宋体" w:cs="Times New Roman"/>
          <w:sz w:val="24"/>
          <w:szCs w:val="24"/>
        </w:rPr>
        <w:t>本项目地理位置及周边情况详见附图</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车间平面图等报告附件。</w:t>
      </w:r>
      <w:r>
        <w:drawing>
          <wp:inline distT="0" distB="0" distL="114300" distR="114300">
            <wp:extent cx="5259705" cy="2708910"/>
            <wp:effectExtent l="0" t="0" r="10795" b="889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5"/>
                    <a:stretch>
                      <a:fillRect/>
                    </a:stretch>
                  </pic:blipFill>
                  <pic:spPr>
                    <a:xfrm>
                      <a:off x="0" y="0"/>
                      <a:ext cx="5259705" cy="2708910"/>
                    </a:xfrm>
                    <a:prstGeom prst="rect">
                      <a:avLst/>
                    </a:prstGeom>
                    <a:noFill/>
                    <a:ln>
                      <a:noFill/>
                    </a:ln>
                  </pic:spPr>
                </pic:pic>
              </a:graphicData>
            </a:graphic>
          </wp:inline>
        </w:drawing>
      </w:r>
    </w:p>
    <w:p w14:paraId="45E0B199">
      <w:pPr>
        <w:pStyle w:val="5"/>
        <w:jc w:val="center"/>
        <w:rPr>
          <w:rFonts w:hint="default" w:ascii="Times New Roman" w:hAnsi="Times New Roman" w:eastAsia="宋体" w:cs="Times New Roman"/>
          <w:b/>
        </w:rPr>
      </w:pPr>
      <w:bookmarkStart w:id="78" w:name="_Toc1907"/>
      <w:bookmarkStart w:id="79" w:name="_Toc3454"/>
      <w:r>
        <w:rPr>
          <w:rFonts w:hint="default" w:ascii="Times New Roman" w:hAnsi="Times New Roman" w:eastAsia="宋体" w:cs="Times New Roman"/>
          <w:b/>
          <w:lang w:eastAsia="zh-CN"/>
        </w:rPr>
        <w:t>图</w:t>
      </w:r>
      <w:r>
        <w:rPr>
          <w:rFonts w:hint="default" w:ascii="Times New Roman" w:hAnsi="Times New Roman" w:eastAsia="宋体" w:cs="Times New Roman"/>
          <w:b/>
          <w:lang w:val="en-US" w:eastAsia="zh-CN"/>
        </w:rPr>
        <w:t>3-1</w:t>
      </w:r>
      <w:r>
        <w:rPr>
          <w:rFonts w:hint="default" w:ascii="Times New Roman" w:hAnsi="Times New Roman" w:eastAsia="宋体" w:cs="Times New Roman"/>
          <w:b/>
        </w:rPr>
        <w:t>项目地理位置图</w:t>
      </w:r>
      <w:bookmarkEnd w:id="78"/>
      <w:bookmarkEnd w:id="79"/>
    </w:p>
    <w:p w14:paraId="2ADB3686">
      <w:pPr>
        <w:pStyle w:val="5"/>
        <w:jc w:val="center"/>
      </w:pPr>
      <w:bookmarkStart w:id="80" w:name="_Toc31923"/>
      <w:bookmarkStart w:id="81" w:name="_Toc14461"/>
      <w:bookmarkStart w:id="82" w:name="_Toc4714"/>
      <w:bookmarkStart w:id="83" w:name="_Toc18608"/>
      <w:bookmarkStart w:id="84" w:name="_Toc23791"/>
      <w:bookmarkStart w:id="85" w:name="_Toc16087"/>
      <w:bookmarkStart w:id="86" w:name="_Toc10854"/>
      <w:bookmarkStart w:id="87" w:name="_Toc15808"/>
      <w:bookmarkStart w:id="88" w:name="_Toc23683"/>
      <w:bookmarkStart w:id="89" w:name="_Toc1412"/>
      <w:bookmarkStart w:id="90" w:name="_Toc29811"/>
      <w:bookmarkStart w:id="91" w:name="_Toc22175"/>
      <w:bookmarkStart w:id="92" w:name="_Toc28362"/>
      <w:bookmarkStart w:id="93" w:name="_Toc25155"/>
      <w:bookmarkStart w:id="94" w:name="_Toc15954"/>
      <w:bookmarkStart w:id="95" w:name="_Toc638"/>
      <w:bookmarkStart w:id="96" w:name="_Toc1327"/>
      <w:bookmarkStart w:id="97" w:name="_Toc9720"/>
      <w:bookmarkStart w:id="98" w:name="_Toc20818"/>
      <w:bookmarkStart w:id="99" w:name="_Toc9556"/>
      <w:bookmarkStart w:id="100" w:name="_Toc26645"/>
      <w:r>
        <w:rPr>
          <w:sz w:val="20"/>
        </w:rPr>
        <mc:AlternateContent>
          <mc:Choice Requires="wps">
            <w:drawing>
              <wp:anchor distT="0" distB="0" distL="114300" distR="114300" simplePos="0" relativeHeight="251660288" behindDoc="0" locked="0" layoutInCell="1" allowOverlap="1">
                <wp:simplePos x="0" y="0"/>
                <wp:positionH relativeFrom="column">
                  <wp:posOffset>1383030</wp:posOffset>
                </wp:positionH>
                <wp:positionV relativeFrom="paragraph">
                  <wp:posOffset>497840</wp:posOffset>
                </wp:positionV>
                <wp:extent cx="1141095" cy="323850"/>
                <wp:effectExtent l="19050" t="19050" r="325755" b="736600"/>
                <wp:wrapNone/>
                <wp:docPr id="3" name="矩形标注 3"/>
                <wp:cNvGraphicFramePr/>
                <a:graphic xmlns:a="http://schemas.openxmlformats.org/drawingml/2006/main">
                  <a:graphicData uri="http://schemas.microsoft.com/office/word/2010/wordprocessingShape">
                    <wps:wsp>
                      <wps:cNvSpPr/>
                      <wps:spPr>
                        <a:xfrm>
                          <a:off x="0" y="0"/>
                          <a:ext cx="1141095" cy="323850"/>
                        </a:xfrm>
                        <a:prstGeom prst="wedgeRectCallout">
                          <a:avLst>
                            <a:gd name="adj1" fmla="val 71480"/>
                            <a:gd name="adj2" fmla="val 248039"/>
                          </a:avLst>
                        </a:prstGeom>
                        <a:solidFill>
                          <a:srgbClr val="FFFFFF"/>
                        </a:solidFill>
                        <a:ln w="38100" cap="flat" cmpd="dbl">
                          <a:solidFill>
                            <a:srgbClr val="0000FF"/>
                          </a:solidFill>
                          <a:prstDash val="solid"/>
                          <a:miter/>
                          <a:headEnd type="none" w="med" len="med"/>
                          <a:tailEnd type="none" w="med" len="med"/>
                        </a:ln>
                      </wps:spPr>
                      <wps:txbx>
                        <w:txbxContent>
                          <w:p w14:paraId="3DE8EA45">
                            <w:pPr>
                              <w:spacing w:line="0" w:lineRule="atLeast"/>
                              <w:jc w:val="center"/>
                              <w:rPr>
                                <w:rFonts w:hint="eastAsia" w:eastAsia="黑体"/>
                                <w:sz w:val="28"/>
                              </w:rPr>
                            </w:pPr>
                            <w:r>
                              <w:rPr>
                                <w:rFonts w:hint="eastAsia" w:eastAsia="黑体"/>
                                <w:sz w:val="28"/>
                              </w:rPr>
                              <w:t>项目所在地</w:t>
                            </w:r>
                          </w:p>
                        </w:txbxContent>
                      </wps:txbx>
                      <wps:bodyPr upright="1"/>
                    </wps:wsp>
                  </a:graphicData>
                </a:graphic>
              </wp:anchor>
            </w:drawing>
          </mc:Choice>
          <mc:Fallback>
            <w:pict>
              <v:shape id="_x0000_s1026" o:spid="_x0000_s1026" o:spt="61" type="#_x0000_t61" style="position:absolute;left:0pt;margin-left:108.9pt;margin-top:39.2pt;height:25.5pt;width:89.85pt;z-index:251660288;mso-width-relative:page;mso-height-relative:page;" fillcolor="#FFFFFF" filled="t" stroked="t" coordsize="21600,21600" o:gfxdata="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jh39sAAAAKAQAADwAAAAAAAAABACAAAAAiAAAAZHJz&#10;L2Rvd25yZXYueG1sUEsBAhQAFAAAAAgAh07iQHp/aFw6AgAAjgQAAA4AAAAAAAAAAQAgAAAAKgEA&#10;AGRycy9lMm9Eb2MueG1sUEsFBgAAAAAGAAYAWQEAANYFAAAAAA==&#10;" adj="26240,64376">
                <v:fill on="t" focussize="0,0"/>
                <v:stroke weight="3pt" color="#0000FF" linestyle="thinThin" joinstyle="miter"/>
                <v:imagedata o:title=""/>
                <o:lock v:ext="edit" aspectratio="f"/>
                <v:textbox>
                  <w:txbxContent>
                    <w:p w14:paraId="3DE8EA45">
                      <w:pPr>
                        <w:spacing w:line="0" w:lineRule="atLeast"/>
                        <w:jc w:val="center"/>
                        <w:rPr>
                          <w:rFonts w:hint="eastAsia" w:eastAsia="黑体"/>
                          <w:sz w:val="28"/>
                        </w:rPr>
                      </w:pPr>
                      <w:r>
                        <w:rPr>
                          <w:rFonts w:hint="eastAsia" w:eastAsia="黑体"/>
                          <w:sz w:val="28"/>
                        </w:rPr>
                        <w:t>项目所在地</w:t>
                      </w:r>
                    </w:p>
                  </w:txbxContent>
                </v:textbox>
              </v:shape>
            </w:pict>
          </mc:Fallback>
        </mc:AlternateContent>
      </w:r>
      <w:r>
        <w:drawing>
          <wp:inline distT="0" distB="0" distL="114300" distR="114300">
            <wp:extent cx="4752340" cy="3329305"/>
            <wp:effectExtent l="0" t="0" r="10160" b="1079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4752340" cy="3329305"/>
                    </a:xfrm>
                    <a:prstGeom prst="rect">
                      <a:avLst/>
                    </a:prstGeom>
                    <a:noFill/>
                    <a:ln>
                      <a:noFill/>
                    </a:ln>
                  </pic:spPr>
                </pic:pic>
              </a:graphicData>
            </a:graphic>
          </wp:inline>
        </w:drawing>
      </w:r>
    </w:p>
    <w:p w14:paraId="46146C68">
      <w:pPr>
        <w:pStyle w:val="5"/>
        <w:jc w:val="center"/>
        <w:rPr>
          <w:rFonts w:hint="default" w:ascii="Times New Roman" w:hAnsi="Times New Roman" w:eastAsia="宋体" w:cs="Times New Roman"/>
          <w:b/>
        </w:rPr>
      </w:pPr>
      <w:r>
        <w:rPr>
          <w:rFonts w:hint="default" w:ascii="Times New Roman" w:hAnsi="Times New Roman" w:eastAsia="宋体" w:cs="Times New Roman"/>
          <w:b/>
          <w:lang w:eastAsia="zh-CN"/>
        </w:rPr>
        <w:t>图</w:t>
      </w:r>
      <w:r>
        <w:rPr>
          <w:rFonts w:hint="default" w:ascii="Times New Roman" w:hAnsi="Times New Roman" w:eastAsia="宋体" w:cs="Times New Roman"/>
          <w:b/>
          <w:lang w:val="en-US" w:eastAsia="zh-CN"/>
        </w:rPr>
        <w:t>3-</w:t>
      </w:r>
      <w:r>
        <w:rPr>
          <w:rFonts w:hint="eastAsia" w:ascii="Times New Roman" w:hAnsi="Times New Roman" w:eastAsia="宋体" w:cs="Times New Roman"/>
          <w:b/>
          <w:lang w:val="en-US" w:eastAsia="zh-CN"/>
        </w:rPr>
        <w:t>2</w:t>
      </w:r>
      <w:r>
        <w:rPr>
          <w:rFonts w:hint="default" w:ascii="Times New Roman" w:hAnsi="Times New Roman" w:eastAsia="宋体" w:cs="Times New Roman"/>
          <w:b/>
        </w:rPr>
        <w:t>项目</w:t>
      </w:r>
      <w:r>
        <w:rPr>
          <w:rFonts w:hint="eastAsia" w:ascii="Times New Roman" w:hAnsi="Times New Roman" w:eastAsia="宋体" w:cs="Times New Roman"/>
          <w:b/>
          <w:lang w:val="en-US" w:eastAsia="zh-CN"/>
        </w:rPr>
        <w:t>周边</w:t>
      </w:r>
      <w:r>
        <w:rPr>
          <w:rFonts w:hint="default" w:ascii="Times New Roman" w:hAnsi="Times New Roman" w:eastAsia="宋体" w:cs="Times New Roman"/>
          <w:b/>
        </w:rPr>
        <w:t>图</w:t>
      </w:r>
    </w:p>
    <w:p w14:paraId="0AA3D122">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default" w:ascii="Times New Roman" w:hAnsi="Times New Roman" w:eastAsia="宋体" w:cs="Times New Roman"/>
          <w:color w:val="auto"/>
          <w:kern w:val="0"/>
          <w:sz w:val="24"/>
          <w:szCs w:val="24"/>
          <w:lang w:val="en-US" w:eastAsia="zh-CN" w:bidi="ar"/>
        </w:rPr>
      </w:pPr>
    </w:p>
    <w:p w14:paraId="6C768A54">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3.2建设内容</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0DB08841">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rPr>
      </w:pPr>
      <w:r>
        <w:rPr>
          <w:rFonts w:hint="default" w:ascii="Times New Roman" w:hAnsi="Times New Roman" w:eastAsia="宋体" w:cs="Times New Roman"/>
        </w:rPr>
        <w:t>项目名称</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杭州广汇包装材料有限公司年产500万只塑料袋项目</w:t>
      </w:r>
    </w:p>
    <w:p w14:paraId="0BCE338E">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建设单位：</w:t>
      </w:r>
      <w:r>
        <w:rPr>
          <w:rFonts w:hint="eastAsia" w:ascii="Times New Roman" w:hAnsi="Times New Roman" w:eastAsia="宋体" w:cs="Times New Roman"/>
          <w:lang w:val="en-US" w:eastAsia="zh-CN"/>
        </w:rPr>
        <w:t>杭州广汇包装材料有限公司</w:t>
      </w:r>
    </w:p>
    <w:p w14:paraId="3A45BB52">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项目性质：</w:t>
      </w:r>
      <w:r>
        <w:rPr>
          <w:rFonts w:hint="eastAsia" w:ascii="Times New Roman" w:hAnsi="Times New Roman" w:eastAsia="宋体" w:cs="Times New Roman"/>
          <w:lang w:val="en-US" w:eastAsia="zh-CN"/>
        </w:rPr>
        <w:t>改建</w:t>
      </w:r>
    </w:p>
    <w:p w14:paraId="20456ACE">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项目投资情况：</w:t>
      </w:r>
      <w:r>
        <w:rPr>
          <w:rFonts w:hint="eastAsia" w:ascii="宋体" w:hAnsi="宋体"/>
          <w:sz w:val="23"/>
          <w:szCs w:val="23"/>
          <w:lang w:val="en-US" w:eastAsia="zh-CN"/>
        </w:rPr>
        <w:t>150</w:t>
      </w:r>
      <w:r>
        <w:rPr>
          <w:rFonts w:hint="default" w:ascii="Times New Roman" w:hAnsi="Times New Roman" w:eastAsia="宋体" w:cs="Times New Roman"/>
          <w:lang w:val="en-US" w:eastAsia="zh-CN"/>
        </w:rPr>
        <w:t>万元</w:t>
      </w:r>
    </w:p>
    <w:p w14:paraId="74141C66">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生产安排与劳动定员：</w:t>
      </w:r>
      <w:r>
        <w:rPr>
          <w:rFonts w:hint="default" w:ascii="Times New Roman" w:hAnsi="Times New Roman" w:eastAsia="宋体" w:cs="Times New Roman"/>
        </w:rPr>
        <w:t>本项目</w:t>
      </w:r>
      <w:r>
        <w:rPr>
          <w:rFonts w:hint="eastAsia" w:ascii="Times New Roman" w:hAnsi="Times New Roman" w:eastAsia="宋体" w:cs="Times New Roman"/>
          <w:lang w:val="en-US" w:eastAsia="zh-CN"/>
        </w:rPr>
        <w:t>实际</w:t>
      </w:r>
      <w:r>
        <w:rPr>
          <w:rFonts w:hint="default" w:ascii="Times New Roman" w:hAnsi="Times New Roman" w:eastAsia="宋体" w:cs="Times New Roman"/>
        </w:rPr>
        <w:t>员工</w:t>
      </w:r>
      <w:r>
        <w:rPr>
          <w:rFonts w:hint="eastAsia" w:ascii="Times New Roman" w:hAnsi="Times New Roman" w:eastAsia="宋体" w:cs="Times New Roman"/>
          <w:lang w:val="en-US" w:eastAsia="zh-CN"/>
        </w:rPr>
        <w:t>15</w:t>
      </w:r>
      <w:r>
        <w:rPr>
          <w:rFonts w:hint="default" w:ascii="Times New Roman" w:hAnsi="Times New Roman" w:eastAsia="宋体" w:cs="Times New Roman"/>
        </w:rPr>
        <w:t>人</w:t>
      </w:r>
      <w:r>
        <w:rPr>
          <w:rFonts w:hint="eastAsia" w:ascii="宋体" w:hAnsi="宋体"/>
          <w:sz w:val="23"/>
          <w:lang w:val="en-US" w:eastAsia="zh-CN"/>
        </w:rPr>
        <w:t>，</w:t>
      </w:r>
      <w:r>
        <w:rPr>
          <w:rFonts w:hint="default" w:ascii="Times New Roman" w:hAnsi="Times New Roman" w:eastAsia="宋体" w:cs="Times New Roman"/>
        </w:rPr>
        <w:t>年工作</w:t>
      </w:r>
      <w:r>
        <w:rPr>
          <w:rFonts w:hint="eastAsia" w:ascii="Times New Roman" w:hAnsi="Times New Roman" w:eastAsia="宋体" w:cs="Times New Roman"/>
          <w:lang w:val="en-US" w:eastAsia="zh-CN"/>
        </w:rPr>
        <w:t>25</w:t>
      </w:r>
      <w:r>
        <w:rPr>
          <w:rFonts w:hint="default" w:ascii="Times New Roman" w:hAnsi="Times New Roman" w:eastAsia="宋体" w:cs="Times New Roman"/>
        </w:rPr>
        <w:t>0天</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每天工作8小时，夜间不生产</w:t>
      </w:r>
      <w:r>
        <w:rPr>
          <w:rFonts w:hint="default" w:ascii="Times New Roman" w:hAnsi="Times New Roman" w:eastAsia="宋体" w:cs="Times New Roman"/>
          <w:lang w:eastAsia="zh-CN"/>
        </w:rPr>
        <w:t>。</w:t>
      </w:r>
    </w:p>
    <w:p w14:paraId="5D821F2D">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1"/>
        <w:rPr>
          <w:rFonts w:hint="default" w:ascii="Times New Roman" w:hAnsi="Times New Roman" w:eastAsia="宋体" w:cs="Times New Roman"/>
          <w:kern w:val="0"/>
          <w:sz w:val="24"/>
          <w:szCs w:val="24"/>
          <w:lang w:val="en-US" w:eastAsia="zh-CN" w:bidi="ar"/>
        </w:rPr>
      </w:pPr>
      <w:bookmarkStart w:id="101" w:name="_Toc24173"/>
      <w:bookmarkStart w:id="102" w:name="_Toc4896"/>
      <w:bookmarkStart w:id="103" w:name="_Toc8915"/>
      <w:bookmarkStart w:id="104" w:name="_Toc6968"/>
      <w:bookmarkStart w:id="105" w:name="_Toc26864"/>
      <w:bookmarkStart w:id="106" w:name="_Toc31140"/>
      <w:bookmarkStart w:id="107" w:name="_Toc29177"/>
      <w:bookmarkStart w:id="108" w:name="_Toc641"/>
      <w:bookmarkStart w:id="109" w:name="_Toc6764"/>
      <w:bookmarkStart w:id="110" w:name="_Toc1455"/>
      <w:bookmarkStart w:id="111" w:name="_Toc9455"/>
      <w:bookmarkStart w:id="112" w:name="_Toc19214"/>
      <w:bookmarkStart w:id="113" w:name="_Toc1135"/>
      <w:bookmarkStart w:id="114" w:name="_Toc29002"/>
      <w:bookmarkStart w:id="115" w:name="_Toc19317"/>
      <w:bookmarkStart w:id="116" w:name="_Toc23906"/>
      <w:bookmarkStart w:id="117" w:name="_Toc23516"/>
      <w:bookmarkStart w:id="118" w:name="_Toc24188"/>
      <w:bookmarkStart w:id="119" w:name="_Toc26698"/>
      <w:bookmarkStart w:id="120" w:name="_Toc19915"/>
      <w:bookmarkStart w:id="121" w:name="_Toc1850"/>
      <w:bookmarkStart w:id="122" w:name="_Toc7491"/>
      <w:r>
        <w:rPr>
          <w:rFonts w:hint="default" w:ascii="Times New Roman" w:hAnsi="Times New Roman" w:eastAsia="宋体" w:cs="Times New Roman"/>
          <w:kern w:val="0"/>
          <w:sz w:val="24"/>
          <w:szCs w:val="24"/>
          <w:lang w:val="en-US" w:eastAsia="zh-CN" w:bidi="ar"/>
        </w:rPr>
        <w:t>3.3主要原辅材料</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5A3C0596">
      <w:pPr>
        <w:pStyle w:val="1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主要原辅材料消耗表</w:t>
      </w:r>
    </w:p>
    <w:tbl>
      <w:tblPr>
        <w:tblStyle w:val="14"/>
        <w:tblW w:w="451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99"/>
        <w:gridCol w:w="2310"/>
        <w:gridCol w:w="1233"/>
        <w:gridCol w:w="1428"/>
        <w:gridCol w:w="1930"/>
      </w:tblGrid>
      <w:tr w14:paraId="3F4B90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518" w:type="pct"/>
            <w:tcBorders>
              <w:tl2br w:val="nil"/>
              <w:tr2bl w:val="nil"/>
            </w:tcBorders>
            <w:noWrap w:val="0"/>
            <w:vAlign w:val="center"/>
          </w:tcPr>
          <w:p w14:paraId="7B4AF77B">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1500" w:type="pct"/>
            <w:tcBorders>
              <w:tl2br w:val="nil"/>
              <w:tr2bl w:val="nil"/>
            </w:tcBorders>
            <w:noWrap w:val="0"/>
            <w:vAlign w:val="center"/>
          </w:tcPr>
          <w:p w14:paraId="16267EF6">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原材料名称</w:t>
            </w:r>
          </w:p>
        </w:tc>
        <w:tc>
          <w:tcPr>
            <w:tcW w:w="800" w:type="pct"/>
            <w:tcBorders>
              <w:tl2br w:val="nil"/>
              <w:tr2bl w:val="nil"/>
            </w:tcBorders>
            <w:noWrap w:val="0"/>
            <w:vAlign w:val="center"/>
          </w:tcPr>
          <w:p w14:paraId="34D32161">
            <w:pPr>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设计用量</w:t>
            </w:r>
          </w:p>
        </w:tc>
        <w:tc>
          <w:tcPr>
            <w:tcW w:w="927" w:type="pct"/>
            <w:tcBorders>
              <w:tl2br w:val="nil"/>
              <w:tr2bl w:val="nil"/>
            </w:tcBorders>
            <w:noWrap w:val="0"/>
            <w:vAlign w:val="center"/>
          </w:tcPr>
          <w:p w14:paraId="2839A4C3">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实际用量</w:t>
            </w:r>
          </w:p>
        </w:tc>
        <w:tc>
          <w:tcPr>
            <w:tcW w:w="1253" w:type="pct"/>
            <w:tcBorders>
              <w:tl2br w:val="nil"/>
              <w:tr2bl w:val="nil"/>
            </w:tcBorders>
            <w:noWrap w:val="0"/>
            <w:vAlign w:val="center"/>
          </w:tcPr>
          <w:p w14:paraId="2229F3A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变化情况</w:t>
            </w:r>
          </w:p>
        </w:tc>
      </w:tr>
      <w:tr w14:paraId="4B05EA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518" w:type="pct"/>
            <w:tcBorders>
              <w:tl2br w:val="nil"/>
              <w:tr2bl w:val="nil"/>
            </w:tcBorders>
            <w:noWrap w:val="0"/>
            <w:vAlign w:val="center"/>
          </w:tcPr>
          <w:p w14:paraId="5D249959">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w:t>
            </w:r>
          </w:p>
        </w:tc>
        <w:tc>
          <w:tcPr>
            <w:tcW w:w="1500" w:type="pct"/>
            <w:tcBorders>
              <w:tl2br w:val="nil"/>
              <w:tr2bl w:val="nil"/>
            </w:tcBorders>
            <w:shd w:val="clear" w:color="auto" w:fill="auto"/>
            <w:noWrap w:val="0"/>
            <w:vAlign w:val="center"/>
          </w:tcPr>
          <w:p w14:paraId="767FFDBD">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PE、</w:t>
            </w:r>
            <w:r>
              <w:rPr>
                <w:rFonts w:hint="default" w:ascii="宋体" w:hAnsi="宋体" w:eastAsia="宋体" w:cs="宋体"/>
                <w:color w:val="000000"/>
                <w:sz w:val="21"/>
                <w:szCs w:val="21"/>
                <w:lang w:val="en-US" w:eastAsia="zh-CN"/>
              </w:rPr>
              <w:t>PP</w:t>
            </w:r>
            <w:r>
              <w:rPr>
                <w:rFonts w:hint="eastAsia" w:ascii="宋体" w:hAnsi="宋体" w:eastAsia="宋体" w:cs="宋体"/>
                <w:color w:val="000000"/>
                <w:sz w:val="21"/>
                <w:szCs w:val="21"/>
                <w:lang w:val="en-US" w:eastAsia="zh-CN"/>
              </w:rPr>
              <w:t>塑料粒子（新料）</w:t>
            </w:r>
          </w:p>
        </w:tc>
        <w:tc>
          <w:tcPr>
            <w:tcW w:w="800" w:type="pct"/>
            <w:tcBorders>
              <w:tl2br w:val="nil"/>
              <w:tr2bl w:val="nil"/>
            </w:tcBorders>
            <w:shd w:val="clear" w:color="auto" w:fill="auto"/>
            <w:noWrap w:val="0"/>
            <w:vAlign w:val="center"/>
          </w:tcPr>
          <w:p w14:paraId="5C0C78C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w:t>
            </w:r>
            <w:r>
              <w:rPr>
                <w:rFonts w:hint="eastAsia" w:ascii="宋体" w:hAnsi="宋体" w:eastAsia="宋体" w:cs="宋体"/>
                <w:color w:val="000000"/>
                <w:sz w:val="21"/>
                <w:szCs w:val="21"/>
              </w:rPr>
              <w:t>0t/a</w:t>
            </w:r>
          </w:p>
        </w:tc>
        <w:tc>
          <w:tcPr>
            <w:tcW w:w="927" w:type="pct"/>
            <w:tcBorders>
              <w:tl2br w:val="nil"/>
              <w:tr2bl w:val="nil"/>
            </w:tcBorders>
            <w:noWrap w:val="0"/>
            <w:vAlign w:val="center"/>
          </w:tcPr>
          <w:p w14:paraId="2E7FC00B">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0t/a</w:t>
            </w:r>
          </w:p>
        </w:tc>
        <w:tc>
          <w:tcPr>
            <w:tcW w:w="1253" w:type="pct"/>
            <w:tcBorders>
              <w:tl2br w:val="nil"/>
              <w:tr2bl w:val="nil"/>
            </w:tcBorders>
            <w:noWrap w:val="0"/>
            <w:vAlign w:val="center"/>
          </w:tcPr>
          <w:p w14:paraId="3E2F7EDA">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-40t/a</w:t>
            </w:r>
          </w:p>
        </w:tc>
      </w:tr>
      <w:tr w14:paraId="20EE10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518" w:type="pct"/>
            <w:tcBorders>
              <w:tl2br w:val="nil"/>
              <w:tr2bl w:val="nil"/>
            </w:tcBorders>
            <w:noWrap w:val="0"/>
            <w:vAlign w:val="center"/>
          </w:tcPr>
          <w:p w14:paraId="65B377F8">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p>
        </w:tc>
        <w:tc>
          <w:tcPr>
            <w:tcW w:w="1500" w:type="pct"/>
            <w:tcBorders>
              <w:tl2br w:val="nil"/>
              <w:tr2bl w:val="nil"/>
            </w:tcBorders>
            <w:shd w:val="clear" w:color="auto" w:fill="auto"/>
            <w:noWrap w:val="0"/>
            <w:vAlign w:val="center"/>
          </w:tcPr>
          <w:p w14:paraId="0ED8F63F">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润滑油</w:t>
            </w:r>
          </w:p>
        </w:tc>
        <w:tc>
          <w:tcPr>
            <w:tcW w:w="800" w:type="pct"/>
            <w:tcBorders>
              <w:tl2br w:val="nil"/>
              <w:tr2bl w:val="nil"/>
            </w:tcBorders>
            <w:shd w:val="clear" w:color="auto" w:fill="auto"/>
            <w:noWrap w:val="0"/>
            <w:vAlign w:val="center"/>
          </w:tcPr>
          <w:p w14:paraId="35807C79">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0.15t</w:t>
            </w:r>
            <w:r>
              <w:rPr>
                <w:rFonts w:hint="eastAsia" w:ascii="宋体" w:hAnsi="宋体" w:eastAsia="宋体" w:cs="宋体"/>
                <w:color w:val="000000"/>
                <w:sz w:val="21"/>
                <w:szCs w:val="21"/>
              </w:rPr>
              <w:t>/a</w:t>
            </w:r>
          </w:p>
        </w:tc>
        <w:tc>
          <w:tcPr>
            <w:tcW w:w="927" w:type="pct"/>
            <w:tcBorders>
              <w:tl2br w:val="nil"/>
              <w:tr2bl w:val="nil"/>
            </w:tcBorders>
            <w:noWrap w:val="0"/>
            <w:vAlign w:val="center"/>
          </w:tcPr>
          <w:p w14:paraId="6153EDF2">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0.1t</w:t>
            </w:r>
            <w:r>
              <w:rPr>
                <w:rFonts w:hint="eastAsia" w:ascii="宋体" w:hAnsi="宋体" w:eastAsia="宋体" w:cs="宋体"/>
                <w:color w:val="000000"/>
                <w:sz w:val="21"/>
                <w:szCs w:val="21"/>
              </w:rPr>
              <w:t>/a</w:t>
            </w:r>
          </w:p>
        </w:tc>
        <w:tc>
          <w:tcPr>
            <w:tcW w:w="1253" w:type="pct"/>
            <w:tcBorders>
              <w:tl2br w:val="nil"/>
              <w:tr2bl w:val="nil"/>
            </w:tcBorders>
            <w:noWrap w:val="0"/>
            <w:vAlign w:val="center"/>
          </w:tcPr>
          <w:p w14:paraId="65098CE1">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-0.05t</w:t>
            </w:r>
            <w:r>
              <w:rPr>
                <w:rFonts w:hint="eastAsia" w:ascii="宋体" w:hAnsi="宋体" w:eastAsia="宋体" w:cs="宋体"/>
                <w:color w:val="000000"/>
                <w:sz w:val="21"/>
                <w:szCs w:val="21"/>
              </w:rPr>
              <w:t>/a</w:t>
            </w:r>
          </w:p>
        </w:tc>
      </w:tr>
      <w:tr w14:paraId="7D2B2C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518" w:type="pct"/>
            <w:tcBorders>
              <w:tl2br w:val="nil"/>
              <w:tr2bl w:val="nil"/>
            </w:tcBorders>
            <w:noWrap w:val="0"/>
            <w:vAlign w:val="center"/>
          </w:tcPr>
          <w:p w14:paraId="5BF0B577">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w:t>
            </w:r>
          </w:p>
        </w:tc>
        <w:tc>
          <w:tcPr>
            <w:tcW w:w="1500" w:type="pct"/>
            <w:tcBorders>
              <w:tl2br w:val="nil"/>
              <w:tr2bl w:val="nil"/>
            </w:tcBorders>
            <w:shd w:val="clear" w:color="auto" w:fill="auto"/>
            <w:noWrap w:val="0"/>
            <w:vAlign w:val="center"/>
          </w:tcPr>
          <w:p w14:paraId="1D409F33">
            <w:pPr>
              <w:jc w:val="center"/>
              <w:rPr>
                <w:rFonts w:hint="eastAsia" w:ascii="宋体" w:hAnsi="宋体" w:eastAsia="宋体" w:cs="宋体"/>
                <w:color w:val="000000"/>
                <w:sz w:val="21"/>
                <w:szCs w:val="21"/>
                <w:lang w:val="en-US" w:eastAsia="zh-CN"/>
              </w:rPr>
            </w:pPr>
            <w:r>
              <w:rPr>
                <w:rFonts w:hint="eastAsia" w:ascii="宋体" w:hAnsi="宋体" w:eastAsia="宋体" w:cs="宋体"/>
                <w:b w:val="0"/>
                <w:bCs w:val="0"/>
                <w:sz w:val="21"/>
                <w:szCs w:val="21"/>
                <w:vertAlign w:val="baseline"/>
                <w:lang w:val="en-US" w:eastAsia="zh-CN"/>
              </w:rPr>
              <w:t>水性油墨（凹版油墨）</w:t>
            </w:r>
          </w:p>
        </w:tc>
        <w:tc>
          <w:tcPr>
            <w:tcW w:w="800" w:type="pct"/>
            <w:tcBorders>
              <w:tl2br w:val="nil"/>
              <w:tr2bl w:val="nil"/>
            </w:tcBorders>
            <w:shd w:val="clear" w:color="auto" w:fill="auto"/>
            <w:noWrap w:val="0"/>
            <w:vAlign w:val="center"/>
          </w:tcPr>
          <w:p w14:paraId="615EB184">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1t/a</w:t>
            </w:r>
          </w:p>
        </w:tc>
        <w:tc>
          <w:tcPr>
            <w:tcW w:w="927" w:type="pct"/>
            <w:tcBorders>
              <w:tl2br w:val="nil"/>
              <w:tr2bl w:val="nil"/>
            </w:tcBorders>
            <w:shd w:val="clear" w:color="auto" w:fill="auto"/>
            <w:noWrap w:val="0"/>
            <w:vAlign w:val="center"/>
          </w:tcPr>
          <w:p w14:paraId="15B73F36">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0.6t/a</w:t>
            </w:r>
          </w:p>
        </w:tc>
        <w:tc>
          <w:tcPr>
            <w:tcW w:w="1253" w:type="pct"/>
            <w:tcBorders>
              <w:tl2br w:val="nil"/>
              <w:tr2bl w:val="nil"/>
            </w:tcBorders>
            <w:noWrap w:val="0"/>
            <w:vAlign w:val="center"/>
          </w:tcPr>
          <w:p w14:paraId="22862182">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-0.4t/a</w:t>
            </w:r>
          </w:p>
        </w:tc>
      </w:tr>
    </w:tbl>
    <w:p w14:paraId="279A2A08">
      <w:pPr>
        <w:pStyle w:val="2"/>
        <w:ind w:left="0" w:leftChars="0" w:firstLine="0" w:firstLineChars="0"/>
        <w:jc w:val="left"/>
        <w:outlineLvl w:val="9"/>
        <w:rPr>
          <w:rFonts w:hint="default" w:ascii="Times New Roman" w:hAnsi="Times New Roman" w:eastAsia="宋体" w:cs="Times New Roman"/>
          <w:kern w:val="0"/>
          <w:sz w:val="24"/>
          <w:szCs w:val="24"/>
          <w:lang w:val="en-US" w:eastAsia="zh-CN" w:bidi="ar"/>
        </w:rPr>
      </w:pPr>
      <w:bookmarkStart w:id="123" w:name="_Toc8431"/>
      <w:bookmarkStart w:id="124" w:name="_Toc19183"/>
      <w:bookmarkStart w:id="125" w:name="_Toc14289"/>
      <w:bookmarkStart w:id="126" w:name="_Toc4110"/>
      <w:bookmarkStart w:id="127" w:name="_Toc20231"/>
      <w:bookmarkStart w:id="128" w:name="_Toc31678"/>
      <w:bookmarkStart w:id="129" w:name="_Toc28652"/>
      <w:bookmarkStart w:id="130" w:name="_Toc8391"/>
      <w:bookmarkStart w:id="131" w:name="_Toc9877"/>
      <w:bookmarkStart w:id="132" w:name="_Toc8173"/>
      <w:bookmarkStart w:id="133" w:name="_Toc2362"/>
      <w:bookmarkStart w:id="134" w:name="_Toc11965"/>
      <w:bookmarkStart w:id="135" w:name="_Toc29931"/>
      <w:bookmarkStart w:id="136" w:name="_Toc15520"/>
      <w:bookmarkStart w:id="137" w:name="_Toc6588"/>
      <w:bookmarkStart w:id="138" w:name="_Toc23945"/>
      <w:bookmarkStart w:id="139" w:name="_Toc32421"/>
      <w:bookmarkStart w:id="140" w:name="_Toc29450"/>
      <w:bookmarkStart w:id="141" w:name="_Toc13285"/>
      <w:bookmarkStart w:id="142" w:name="_Toc26522"/>
      <w:bookmarkStart w:id="143" w:name="_Toc8837"/>
    </w:p>
    <w:p w14:paraId="0EC78493">
      <w:pPr>
        <w:pStyle w:val="2"/>
        <w:ind w:left="0" w:leftChars="0" w:firstLine="0" w:firstLineChars="0"/>
        <w:jc w:val="left"/>
        <w:outlineLvl w:val="1"/>
        <w:rPr>
          <w:rFonts w:hint="default" w:ascii="Times New Roman" w:hAnsi="Times New Roman" w:eastAsia="宋体" w:cs="Times New Roman"/>
          <w:kern w:val="0"/>
          <w:sz w:val="24"/>
          <w:szCs w:val="24"/>
          <w:lang w:val="en-US" w:eastAsia="zh-CN" w:bidi="ar"/>
        </w:rPr>
      </w:pPr>
      <w:bookmarkStart w:id="144" w:name="_Toc23082"/>
      <w:r>
        <w:rPr>
          <w:rFonts w:hint="default" w:ascii="Times New Roman" w:hAnsi="Times New Roman" w:eastAsia="宋体" w:cs="Times New Roman"/>
          <w:kern w:val="0"/>
          <w:sz w:val="24"/>
          <w:szCs w:val="24"/>
          <w:lang w:val="en-US" w:eastAsia="zh-CN" w:bidi="ar"/>
        </w:rPr>
        <w:t>3.4建设项目生产设备</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0134E96C">
      <w:pPr>
        <w:pStyle w:val="1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rPr>
        <w:t>主要设备表</w:t>
      </w:r>
    </w:p>
    <w:tbl>
      <w:tblPr>
        <w:tblStyle w:val="14"/>
        <w:tblW w:w="849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96"/>
        <w:gridCol w:w="1817"/>
        <w:gridCol w:w="1811"/>
        <w:gridCol w:w="1117"/>
        <w:gridCol w:w="1578"/>
        <w:gridCol w:w="1578"/>
      </w:tblGrid>
      <w:tr w14:paraId="05E9F5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7" w:hRule="atLeast"/>
          <w:jc w:val="center"/>
        </w:trPr>
        <w:tc>
          <w:tcPr>
            <w:tcW w:w="596" w:type="dxa"/>
            <w:tcBorders>
              <w:tl2br w:val="nil"/>
              <w:tr2bl w:val="nil"/>
            </w:tcBorders>
            <w:noWrap w:val="0"/>
            <w:vAlign w:val="center"/>
          </w:tcPr>
          <w:p w14:paraId="1BD1690A">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序号</w:t>
            </w:r>
          </w:p>
        </w:tc>
        <w:tc>
          <w:tcPr>
            <w:tcW w:w="1817" w:type="dxa"/>
            <w:tcBorders>
              <w:tl2br w:val="nil"/>
              <w:tr2bl w:val="nil"/>
            </w:tcBorders>
            <w:noWrap w:val="0"/>
            <w:vAlign w:val="center"/>
          </w:tcPr>
          <w:p w14:paraId="2553133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设备名称</w:t>
            </w:r>
          </w:p>
        </w:tc>
        <w:tc>
          <w:tcPr>
            <w:tcW w:w="1811" w:type="dxa"/>
            <w:tcBorders>
              <w:tl2br w:val="nil"/>
              <w:tr2bl w:val="nil"/>
            </w:tcBorders>
            <w:shd w:val="clear" w:color="000000" w:fill="FFFFFF"/>
            <w:noWrap w:val="0"/>
            <w:vAlign w:val="center"/>
          </w:tcPr>
          <w:p w14:paraId="0ADDBFF0">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环评审批</w:t>
            </w:r>
          </w:p>
        </w:tc>
        <w:tc>
          <w:tcPr>
            <w:tcW w:w="1117" w:type="dxa"/>
            <w:tcBorders>
              <w:tl2br w:val="nil"/>
              <w:tr2bl w:val="nil"/>
            </w:tcBorders>
            <w:shd w:val="clear" w:color="000000" w:fill="FFFFFF"/>
            <w:noWrap w:val="0"/>
            <w:vAlign w:val="center"/>
          </w:tcPr>
          <w:p w14:paraId="4D59F2FB">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实际数量</w:t>
            </w:r>
          </w:p>
        </w:tc>
        <w:tc>
          <w:tcPr>
            <w:tcW w:w="1578" w:type="dxa"/>
            <w:tcBorders>
              <w:tl2br w:val="nil"/>
              <w:tr2bl w:val="nil"/>
            </w:tcBorders>
            <w:shd w:val="clear" w:color="000000" w:fill="FFFFFF"/>
            <w:noWrap w:val="0"/>
            <w:vAlign w:val="center"/>
          </w:tcPr>
          <w:p w14:paraId="358452AD">
            <w:pPr>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lang w:val="en-US" w:eastAsia="zh-CN"/>
              </w:rPr>
              <w:t>变化情况</w:t>
            </w:r>
          </w:p>
        </w:tc>
        <w:tc>
          <w:tcPr>
            <w:tcW w:w="1578" w:type="dxa"/>
            <w:tcBorders>
              <w:tl2br w:val="nil"/>
              <w:tr2bl w:val="nil"/>
            </w:tcBorders>
            <w:shd w:val="clear" w:color="000000" w:fill="FFFFFF"/>
            <w:noWrap w:val="0"/>
            <w:vAlign w:val="center"/>
          </w:tcPr>
          <w:p w14:paraId="69BAD5B8">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备注</w:t>
            </w:r>
          </w:p>
        </w:tc>
      </w:tr>
      <w:tr w14:paraId="33E5AA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noWrap w:val="0"/>
            <w:vAlign w:val="center"/>
          </w:tcPr>
          <w:p w14:paraId="383F055A">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1</w:t>
            </w:r>
          </w:p>
        </w:tc>
        <w:tc>
          <w:tcPr>
            <w:tcW w:w="1817" w:type="dxa"/>
            <w:tcBorders>
              <w:tl2br w:val="nil"/>
              <w:tr2bl w:val="nil"/>
            </w:tcBorders>
            <w:shd w:val="clear" w:color="000000" w:fill="FFFFFF"/>
            <w:noWrap w:val="0"/>
            <w:vAlign w:val="center"/>
          </w:tcPr>
          <w:p w14:paraId="24183A4D">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吹膜机</w:t>
            </w:r>
          </w:p>
        </w:tc>
        <w:tc>
          <w:tcPr>
            <w:tcW w:w="1811" w:type="dxa"/>
            <w:tcBorders>
              <w:tl2br w:val="nil"/>
              <w:tr2bl w:val="nil"/>
            </w:tcBorders>
            <w:noWrap w:val="0"/>
            <w:vAlign w:val="center"/>
          </w:tcPr>
          <w:p w14:paraId="7DEF24F0">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6台</w:t>
            </w:r>
          </w:p>
        </w:tc>
        <w:tc>
          <w:tcPr>
            <w:tcW w:w="1117" w:type="dxa"/>
            <w:tcBorders>
              <w:tl2br w:val="nil"/>
              <w:tr2bl w:val="nil"/>
            </w:tcBorders>
            <w:noWrap w:val="0"/>
            <w:vAlign w:val="center"/>
          </w:tcPr>
          <w:p w14:paraId="38E42456">
            <w:pPr>
              <w:tabs>
                <w:tab w:val="left" w:pos="195"/>
              </w:tabs>
              <w:spacing w:line="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kern w:val="2"/>
                <w:sz w:val="21"/>
                <w:szCs w:val="21"/>
                <w:lang w:val="en-US" w:eastAsia="zh-CN" w:bidi="ar-SA"/>
              </w:rPr>
              <w:t>台</w:t>
            </w:r>
          </w:p>
        </w:tc>
        <w:tc>
          <w:tcPr>
            <w:tcW w:w="1578" w:type="dxa"/>
            <w:tcBorders>
              <w:tl2br w:val="nil"/>
              <w:tr2bl w:val="nil"/>
            </w:tcBorders>
            <w:noWrap w:val="0"/>
            <w:vAlign w:val="center"/>
          </w:tcPr>
          <w:p w14:paraId="5BF8F6B0">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-3台</w:t>
            </w:r>
          </w:p>
        </w:tc>
        <w:tc>
          <w:tcPr>
            <w:tcW w:w="1578" w:type="dxa"/>
            <w:vMerge w:val="restart"/>
            <w:tcBorders>
              <w:tl2br w:val="nil"/>
              <w:tr2bl w:val="nil"/>
            </w:tcBorders>
            <w:noWrap w:val="0"/>
            <w:vAlign w:val="center"/>
          </w:tcPr>
          <w:p w14:paraId="4806AE57">
            <w:pPr>
              <w:tabs>
                <w:tab w:val="left" w:pos="195"/>
              </w:tabs>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阶段性验收</w:t>
            </w:r>
          </w:p>
        </w:tc>
      </w:tr>
      <w:tr w14:paraId="50537D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noWrap w:val="0"/>
            <w:vAlign w:val="center"/>
          </w:tcPr>
          <w:p w14:paraId="14B812E7">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2</w:t>
            </w:r>
          </w:p>
        </w:tc>
        <w:tc>
          <w:tcPr>
            <w:tcW w:w="1817" w:type="dxa"/>
            <w:tcBorders>
              <w:tl2br w:val="nil"/>
              <w:tr2bl w:val="nil"/>
            </w:tcBorders>
            <w:shd w:val="clear" w:color="000000" w:fill="FFFFFF"/>
            <w:noWrap w:val="0"/>
            <w:vAlign w:val="center"/>
          </w:tcPr>
          <w:p w14:paraId="42E08F0B">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制袋机</w:t>
            </w:r>
          </w:p>
        </w:tc>
        <w:tc>
          <w:tcPr>
            <w:tcW w:w="1811" w:type="dxa"/>
            <w:tcBorders>
              <w:tl2br w:val="nil"/>
              <w:tr2bl w:val="nil"/>
            </w:tcBorders>
            <w:noWrap w:val="0"/>
            <w:vAlign w:val="center"/>
          </w:tcPr>
          <w:p w14:paraId="44B34D37">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10台</w:t>
            </w:r>
          </w:p>
        </w:tc>
        <w:tc>
          <w:tcPr>
            <w:tcW w:w="1117" w:type="dxa"/>
            <w:tcBorders>
              <w:tl2br w:val="nil"/>
              <w:tr2bl w:val="nil"/>
            </w:tcBorders>
            <w:noWrap w:val="0"/>
            <w:vAlign w:val="center"/>
          </w:tcPr>
          <w:p w14:paraId="4E9C55ED">
            <w:pPr>
              <w:jc w:val="center"/>
              <w:rPr>
                <w:rFonts w:hint="eastAsia" w:ascii="宋体" w:hAnsi="宋体" w:eastAsia="宋体" w:cs="宋体"/>
                <w:sz w:val="21"/>
                <w:szCs w:val="21"/>
                <w:lang w:eastAsia="zh-CN"/>
              </w:rPr>
            </w:pPr>
            <w:r>
              <w:rPr>
                <w:rFonts w:hint="eastAsia" w:ascii="宋体" w:hAnsi="宋体" w:eastAsia="宋体" w:cs="宋体"/>
                <w:kern w:val="2"/>
                <w:sz w:val="21"/>
                <w:szCs w:val="21"/>
                <w:lang w:val="en-US" w:eastAsia="zh-CN" w:bidi="ar-SA"/>
              </w:rPr>
              <w:t>10台</w:t>
            </w:r>
          </w:p>
        </w:tc>
        <w:tc>
          <w:tcPr>
            <w:tcW w:w="1578" w:type="dxa"/>
            <w:tcBorders>
              <w:tl2br w:val="nil"/>
              <w:tr2bl w:val="nil"/>
            </w:tcBorders>
            <w:noWrap w:val="0"/>
            <w:vAlign w:val="center"/>
          </w:tcPr>
          <w:p w14:paraId="3322D65F">
            <w:pPr>
              <w:jc w:val="center"/>
              <w:rPr>
                <w:rFonts w:hint="eastAsia" w:ascii="宋体" w:hAnsi="宋体" w:eastAsia="宋体" w:cs="宋体"/>
                <w:sz w:val="21"/>
                <w:szCs w:val="21"/>
                <w:lang w:eastAsia="zh-CN"/>
              </w:rPr>
            </w:pPr>
            <w:r>
              <w:rPr>
                <w:rFonts w:hint="eastAsia" w:ascii="宋体" w:hAnsi="宋体" w:eastAsia="宋体" w:cs="宋体"/>
                <w:kern w:val="2"/>
                <w:sz w:val="21"/>
                <w:szCs w:val="21"/>
                <w:lang w:val="en-US" w:eastAsia="zh-CN" w:bidi="ar-SA"/>
              </w:rPr>
              <w:t>0</w:t>
            </w:r>
          </w:p>
        </w:tc>
        <w:tc>
          <w:tcPr>
            <w:tcW w:w="1578" w:type="dxa"/>
            <w:vMerge w:val="continue"/>
            <w:tcBorders>
              <w:tl2br w:val="nil"/>
              <w:tr2bl w:val="nil"/>
            </w:tcBorders>
            <w:noWrap w:val="0"/>
            <w:vAlign w:val="center"/>
          </w:tcPr>
          <w:p w14:paraId="69F2510A">
            <w:pPr>
              <w:tabs>
                <w:tab w:val="left" w:pos="195"/>
              </w:tabs>
              <w:spacing w:line="0" w:lineRule="atLeast"/>
              <w:jc w:val="center"/>
              <w:rPr>
                <w:rFonts w:hint="eastAsia" w:ascii="宋体" w:hAnsi="宋体" w:eastAsia="宋体" w:cs="宋体"/>
                <w:sz w:val="21"/>
                <w:szCs w:val="21"/>
              </w:rPr>
            </w:pPr>
          </w:p>
        </w:tc>
      </w:tr>
      <w:tr w14:paraId="0A0E7D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noWrap w:val="0"/>
            <w:vAlign w:val="center"/>
          </w:tcPr>
          <w:p w14:paraId="14478C0F">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3</w:t>
            </w:r>
          </w:p>
        </w:tc>
        <w:tc>
          <w:tcPr>
            <w:tcW w:w="1817" w:type="dxa"/>
            <w:tcBorders>
              <w:tl2br w:val="nil"/>
              <w:tr2bl w:val="nil"/>
            </w:tcBorders>
            <w:shd w:val="clear" w:color="000000" w:fill="FFFFFF"/>
            <w:noWrap w:val="0"/>
            <w:vAlign w:val="center"/>
          </w:tcPr>
          <w:p w14:paraId="2F5EFE7D">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四色印刷机</w:t>
            </w:r>
          </w:p>
        </w:tc>
        <w:tc>
          <w:tcPr>
            <w:tcW w:w="1811" w:type="dxa"/>
            <w:tcBorders>
              <w:tl2br w:val="nil"/>
              <w:tr2bl w:val="nil"/>
            </w:tcBorders>
            <w:noWrap w:val="0"/>
            <w:vAlign w:val="center"/>
          </w:tcPr>
          <w:p w14:paraId="41A2104E">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2台</w:t>
            </w:r>
          </w:p>
        </w:tc>
        <w:tc>
          <w:tcPr>
            <w:tcW w:w="1117" w:type="dxa"/>
            <w:tcBorders>
              <w:tl2br w:val="nil"/>
              <w:tr2bl w:val="nil"/>
            </w:tcBorders>
            <w:noWrap w:val="0"/>
            <w:vAlign w:val="center"/>
          </w:tcPr>
          <w:p w14:paraId="56B52FB1">
            <w:pPr>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SA"/>
              </w:rPr>
              <w:t>2台</w:t>
            </w:r>
          </w:p>
        </w:tc>
        <w:tc>
          <w:tcPr>
            <w:tcW w:w="1578" w:type="dxa"/>
            <w:tcBorders>
              <w:tl2br w:val="nil"/>
              <w:tr2bl w:val="nil"/>
            </w:tcBorders>
            <w:noWrap w:val="0"/>
            <w:vAlign w:val="center"/>
          </w:tcPr>
          <w:p w14:paraId="668B9D31">
            <w:pPr>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SA"/>
              </w:rPr>
              <w:t>0</w:t>
            </w:r>
          </w:p>
        </w:tc>
        <w:tc>
          <w:tcPr>
            <w:tcW w:w="1578" w:type="dxa"/>
            <w:vMerge w:val="continue"/>
            <w:tcBorders>
              <w:tl2br w:val="nil"/>
              <w:tr2bl w:val="nil"/>
            </w:tcBorders>
            <w:noWrap w:val="0"/>
            <w:vAlign w:val="center"/>
          </w:tcPr>
          <w:p w14:paraId="274603E1">
            <w:pPr>
              <w:tabs>
                <w:tab w:val="left" w:pos="195"/>
              </w:tabs>
              <w:spacing w:line="0" w:lineRule="atLeast"/>
              <w:jc w:val="center"/>
              <w:rPr>
                <w:rFonts w:hint="eastAsia" w:ascii="宋体" w:hAnsi="宋体" w:eastAsia="宋体" w:cs="宋体"/>
                <w:sz w:val="21"/>
                <w:szCs w:val="21"/>
              </w:rPr>
            </w:pPr>
          </w:p>
        </w:tc>
      </w:tr>
      <w:tr w14:paraId="30C076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0" w:hRule="atLeast"/>
          <w:jc w:val="center"/>
        </w:trPr>
        <w:tc>
          <w:tcPr>
            <w:tcW w:w="596" w:type="dxa"/>
            <w:tcBorders>
              <w:tl2br w:val="nil"/>
              <w:tr2bl w:val="nil"/>
            </w:tcBorders>
            <w:noWrap w:val="0"/>
            <w:vAlign w:val="center"/>
          </w:tcPr>
          <w:p w14:paraId="61214FA8">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4</w:t>
            </w:r>
          </w:p>
        </w:tc>
        <w:tc>
          <w:tcPr>
            <w:tcW w:w="1817" w:type="dxa"/>
            <w:tcBorders>
              <w:tl2br w:val="nil"/>
              <w:tr2bl w:val="nil"/>
            </w:tcBorders>
            <w:shd w:val="clear" w:color="000000" w:fill="FFFFFF"/>
            <w:noWrap w:val="0"/>
            <w:vAlign w:val="center"/>
          </w:tcPr>
          <w:p w14:paraId="22C346C2">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六色印刷机</w:t>
            </w:r>
          </w:p>
        </w:tc>
        <w:tc>
          <w:tcPr>
            <w:tcW w:w="1811" w:type="dxa"/>
            <w:tcBorders>
              <w:tl2br w:val="nil"/>
              <w:tr2bl w:val="nil"/>
            </w:tcBorders>
            <w:noWrap w:val="0"/>
            <w:vAlign w:val="center"/>
          </w:tcPr>
          <w:p w14:paraId="14436EE2">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1台</w:t>
            </w:r>
          </w:p>
        </w:tc>
        <w:tc>
          <w:tcPr>
            <w:tcW w:w="1117" w:type="dxa"/>
            <w:tcBorders>
              <w:tl2br w:val="nil"/>
              <w:tr2bl w:val="nil"/>
            </w:tcBorders>
            <w:noWrap w:val="0"/>
            <w:vAlign w:val="center"/>
          </w:tcPr>
          <w:p w14:paraId="2EE9B097">
            <w:pPr>
              <w:jc w:val="center"/>
              <w:rPr>
                <w:rFonts w:hint="eastAsia" w:ascii="宋体" w:hAnsi="宋体" w:eastAsia="宋体" w:cs="宋体"/>
                <w:sz w:val="21"/>
                <w:szCs w:val="21"/>
                <w:lang w:eastAsia="zh-CN"/>
              </w:rPr>
            </w:pPr>
            <w:r>
              <w:rPr>
                <w:rFonts w:hint="eastAsia" w:ascii="宋体" w:hAnsi="宋体" w:eastAsia="宋体" w:cs="宋体"/>
                <w:kern w:val="2"/>
                <w:sz w:val="21"/>
                <w:szCs w:val="21"/>
                <w:lang w:val="en-US" w:eastAsia="zh-CN" w:bidi="ar-SA"/>
              </w:rPr>
              <w:t>1台</w:t>
            </w:r>
          </w:p>
        </w:tc>
        <w:tc>
          <w:tcPr>
            <w:tcW w:w="1578" w:type="dxa"/>
            <w:tcBorders>
              <w:tl2br w:val="nil"/>
              <w:tr2bl w:val="nil"/>
            </w:tcBorders>
            <w:noWrap w:val="0"/>
            <w:vAlign w:val="center"/>
          </w:tcPr>
          <w:p w14:paraId="39828EA3">
            <w:pPr>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SA"/>
              </w:rPr>
              <w:t>0</w:t>
            </w:r>
          </w:p>
        </w:tc>
        <w:tc>
          <w:tcPr>
            <w:tcW w:w="1578" w:type="dxa"/>
            <w:vMerge w:val="continue"/>
            <w:tcBorders>
              <w:tl2br w:val="nil"/>
              <w:tr2bl w:val="nil"/>
            </w:tcBorders>
            <w:noWrap w:val="0"/>
            <w:vAlign w:val="center"/>
          </w:tcPr>
          <w:p w14:paraId="6DA29813">
            <w:pPr>
              <w:tabs>
                <w:tab w:val="left" w:pos="195"/>
              </w:tabs>
              <w:spacing w:line="0" w:lineRule="atLeast"/>
              <w:jc w:val="center"/>
              <w:rPr>
                <w:rFonts w:hint="eastAsia" w:ascii="宋体" w:hAnsi="宋体" w:eastAsia="宋体" w:cs="宋体"/>
                <w:sz w:val="21"/>
                <w:szCs w:val="21"/>
              </w:rPr>
            </w:pPr>
          </w:p>
        </w:tc>
      </w:tr>
      <w:tr w14:paraId="3DCDD3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noWrap w:val="0"/>
            <w:vAlign w:val="center"/>
          </w:tcPr>
          <w:p w14:paraId="79DB2200">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5</w:t>
            </w:r>
          </w:p>
        </w:tc>
        <w:tc>
          <w:tcPr>
            <w:tcW w:w="1817" w:type="dxa"/>
            <w:tcBorders>
              <w:tl2br w:val="nil"/>
              <w:tr2bl w:val="nil"/>
            </w:tcBorders>
            <w:shd w:val="clear" w:color="000000" w:fill="FFFFFF"/>
            <w:noWrap w:val="0"/>
            <w:vAlign w:val="center"/>
          </w:tcPr>
          <w:p w14:paraId="6249ED67">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九色印刷机</w:t>
            </w:r>
          </w:p>
        </w:tc>
        <w:tc>
          <w:tcPr>
            <w:tcW w:w="1811" w:type="dxa"/>
            <w:tcBorders>
              <w:tl2br w:val="nil"/>
              <w:tr2bl w:val="nil"/>
            </w:tcBorders>
            <w:noWrap w:val="0"/>
            <w:vAlign w:val="center"/>
          </w:tcPr>
          <w:p w14:paraId="3C9C0A20">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1台</w:t>
            </w:r>
          </w:p>
        </w:tc>
        <w:tc>
          <w:tcPr>
            <w:tcW w:w="1117" w:type="dxa"/>
            <w:tcBorders>
              <w:tl2br w:val="nil"/>
              <w:tr2bl w:val="nil"/>
            </w:tcBorders>
            <w:noWrap w:val="0"/>
            <w:vAlign w:val="center"/>
          </w:tcPr>
          <w:p w14:paraId="7BFD08AF">
            <w:pPr>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SA"/>
              </w:rPr>
              <w:t>1台</w:t>
            </w:r>
          </w:p>
        </w:tc>
        <w:tc>
          <w:tcPr>
            <w:tcW w:w="1578" w:type="dxa"/>
            <w:tcBorders>
              <w:tl2br w:val="nil"/>
              <w:tr2bl w:val="nil"/>
            </w:tcBorders>
            <w:noWrap w:val="0"/>
            <w:vAlign w:val="center"/>
          </w:tcPr>
          <w:p w14:paraId="0F4EAB5C">
            <w:pPr>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SA"/>
              </w:rPr>
              <w:t>0</w:t>
            </w:r>
          </w:p>
        </w:tc>
        <w:tc>
          <w:tcPr>
            <w:tcW w:w="1578" w:type="dxa"/>
            <w:vMerge w:val="continue"/>
            <w:tcBorders>
              <w:tl2br w:val="nil"/>
              <w:tr2bl w:val="nil"/>
            </w:tcBorders>
            <w:noWrap w:val="0"/>
            <w:vAlign w:val="center"/>
          </w:tcPr>
          <w:p w14:paraId="505D1E71">
            <w:pPr>
              <w:tabs>
                <w:tab w:val="left" w:pos="195"/>
              </w:tabs>
              <w:spacing w:line="0" w:lineRule="atLeast"/>
              <w:jc w:val="center"/>
              <w:rPr>
                <w:rFonts w:hint="eastAsia" w:ascii="宋体" w:hAnsi="宋体" w:eastAsia="宋体" w:cs="宋体"/>
                <w:sz w:val="21"/>
                <w:szCs w:val="21"/>
              </w:rPr>
            </w:pPr>
          </w:p>
        </w:tc>
      </w:tr>
    </w:tbl>
    <w:p w14:paraId="6F553E8E">
      <w:pPr>
        <w:pStyle w:val="2"/>
        <w:ind w:left="0" w:leftChars="0" w:firstLine="0" w:firstLineChars="0"/>
        <w:jc w:val="left"/>
        <w:outlineLvl w:val="1"/>
        <w:rPr>
          <w:rFonts w:hint="default" w:ascii="Times New Roman" w:hAnsi="Times New Roman" w:eastAsia="宋体" w:cs="Times New Roman"/>
          <w:kern w:val="0"/>
          <w:sz w:val="24"/>
          <w:szCs w:val="24"/>
          <w:lang w:val="en-US" w:eastAsia="zh-CN" w:bidi="ar"/>
        </w:rPr>
      </w:pPr>
      <w:bookmarkStart w:id="145" w:name="_Toc11248"/>
      <w:bookmarkStart w:id="146" w:name="_Toc3283"/>
      <w:bookmarkStart w:id="147" w:name="_Toc19159"/>
      <w:bookmarkStart w:id="148" w:name="_Toc29041"/>
      <w:r>
        <w:rPr>
          <w:rFonts w:hint="default" w:ascii="Times New Roman" w:hAnsi="Times New Roman" w:eastAsia="宋体" w:cs="Times New Roman"/>
          <w:kern w:val="0"/>
          <w:sz w:val="24"/>
          <w:szCs w:val="24"/>
          <w:lang w:val="en-US" w:eastAsia="zh-CN" w:bidi="ar"/>
        </w:rPr>
        <w:t>3.5生产工艺情况介绍</w:t>
      </w:r>
      <w:bookmarkEnd w:id="145"/>
      <w:bookmarkEnd w:id="146"/>
      <w:bookmarkEnd w:id="147"/>
      <w:bookmarkEnd w:id="148"/>
    </w:p>
    <w:p w14:paraId="3D980D6F">
      <w:pPr>
        <w:pStyle w:val="5"/>
        <w:rPr>
          <w:rFonts w:hint="default" w:ascii="Times New Roman" w:hAnsi="Times New Roman" w:eastAsia="宋体" w:cs="Times New Roman"/>
          <w:b w:val="0"/>
          <w:bCs/>
        </w:rPr>
      </w:pPr>
      <w:bookmarkStart w:id="149" w:name="_Toc31534"/>
      <w:r>
        <w:rPr>
          <w:rFonts w:hint="default" w:ascii="Times New Roman" w:hAnsi="Times New Roman" w:eastAsia="宋体" w:cs="Times New Roman"/>
          <w:b w:val="0"/>
          <w:bCs/>
          <w:lang w:val="en-US" w:eastAsia="zh-CN"/>
        </w:rPr>
        <w:t>3</w:t>
      </w:r>
      <w:r>
        <w:rPr>
          <w:rFonts w:hint="default" w:ascii="Times New Roman" w:hAnsi="Times New Roman" w:eastAsia="宋体" w:cs="Times New Roman"/>
          <w:b w:val="0"/>
          <w:bCs/>
        </w:rPr>
        <w:t>.</w:t>
      </w:r>
      <w:r>
        <w:rPr>
          <w:rFonts w:hint="default" w:ascii="Times New Roman" w:hAnsi="Times New Roman" w:eastAsia="宋体" w:cs="Times New Roman"/>
          <w:b w:val="0"/>
          <w:bCs/>
          <w:lang w:val="en-US" w:eastAsia="zh-CN"/>
        </w:rPr>
        <w:t>5</w:t>
      </w:r>
      <w:r>
        <w:rPr>
          <w:rFonts w:hint="default" w:ascii="Times New Roman" w:hAnsi="Times New Roman" w:eastAsia="宋体" w:cs="Times New Roman"/>
          <w:b w:val="0"/>
          <w:bCs/>
        </w:rPr>
        <w:t>.1工艺流程</w:t>
      </w:r>
      <w:bookmarkEnd w:id="149"/>
    </w:p>
    <w:p w14:paraId="5684819C">
      <w:pPr>
        <w:ind w:firstLine="575" w:firstLineChars="250"/>
        <w:rPr>
          <w:rFonts w:hint="eastAsia" w:ascii="宋体" w:hAnsi="宋体" w:eastAsiaTheme="minorEastAsia"/>
          <w:color w:val="000000"/>
          <w:sz w:val="23"/>
          <w:lang w:eastAsia="zh-CN"/>
        </w:rPr>
      </w:pPr>
      <w:bookmarkStart w:id="150" w:name="_Toc10182"/>
      <w:bookmarkStart w:id="151" w:name="_Toc16771"/>
      <w:bookmarkStart w:id="152" w:name="_Toc10705"/>
      <w:bookmarkStart w:id="153" w:name="_Toc29965"/>
      <w:bookmarkStart w:id="154" w:name="_Toc23321"/>
      <w:r>
        <w:rPr>
          <w:rFonts w:hint="eastAsia" w:ascii="宋体" w:hAnsi="宋体"/>
          <w:color w:val="000000"/>
          <w:sz w:val="23"/>
        </w:rPr>
        <w:t>本项目生产工艺流程</w:t>
      </w:r>
      <w:r>
        <w:rPr>
          <w:rFonts w:hint="eastAsia" w:ascii="宋体" w:hAnsi="宋体"/>
          <w:sz w:val="23"/>
          <w:szCs w:val="23"/>
        </w:rPr>
        <w:t>及产污环节如下：</w:t>
      </w:r>
    </w:p>
    <w:p w14:paraId="105DCC1C">
      <w:pPr>
        <w:spacing w:line="360" w:lineRule="auto"/>
        <w:jc w:val="center"/>
      </w:pPr>
      <w:r>
        <w:drawing>
          <wp:inline distT="0" distB="0" distL="114300" distR="114300">
            <wp:extent cx="4387850" cy="1168400"/>
            <wp:effectExtent l="0" t="0" r="6350"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7"/>
                    <a:stretch>
                      <a:fillRect/>
                    </a:stretch>
                  </pic:blipFill>
                  <pic:spPr>
                    <a:xfrm>
                      <a:off x="0" y="0"/>
                      <a:ext cx="4387850" cy="1168400"/>
                    </a:xfrm>
                    <a:prstGeom prst="rect">
                      <a:avLst/>
                    </a:prstGeom>
                    <a:noFill/>
                    <a:ln>
                      <a:noFill/>
                    </a:ln>
                  </pic:spPr>
                </pic:pic>
              </a:graphicData>
            </a:graphic>
          </wp:inline>
        </w:drawing>
      </w:r>
    </w:p>
    <w:p w14:paraId="76A7F67E">
      <w:pPr>
        <w:spacing w:line="360" w:lineRule="auto"/>
        <w:ind w:firstLine="460" w:firstLineChars="200"/>
        <w:rPr>
          <w:rFonts w:hint="eastAsia" w:ascii="宋体" w:hAnsi="宋体" w:eastAsia="宋体" w:cs="Times New Roman"/>
          <w:i/>
          <w:iCs/>
          <w:sz w:val="23"/>
          <w:lang w:val="en-US" w:eastAsia="zh-CN"/>
        </w:rPr>
      </w:pPr>
      <w:r>
        <w:rPr>
          <w:rFonts w:hint="eastAsia" w:ascii="宋体" w:hAnsi="宋体" w:eastAsia="宋体" w:cs="Times New Roman"/>
          <w:i/>
          <w:iCs/>
          <w:sz w:val="23"/>
          <w:lang w:val="en-US" w:eastAsia="zh-CN"/>
        </w:rPr>
        <w:t>注：（1）上料：项目外购的树脂颗粒储存于包装袋中，生产时人工拆袋投加到吹膜机原料桶内，之后由吸料机吸入吹膜机内，原料为固态树脂颗粒，上料过程不易产尘，此过程会产生噪声。</w:t>
      </w:r>
    </w:p>
    <w:p w14:paraId="5F0B6DCA">
      <w:pPr>
        <w:numPr>
          <w:ilvl w:val="0"/>
          <w:numId w:val="3"/>
        </w:numPr>
        <w:spacing w:line="360" w:lineRule="auto"/>
        <w:ind w:firstLine="460" w:firstLineChars="200"/>
        <w:rPr>
          <w:rFonts w:hint="eastAsia" w:ascii="宋体" w:hAnsi="宋体" w:eastAsia="宋体" w:cs="Times New Roman"/>
          <w:i/>
          <w:iCs/>
          <w:sz w:val="23"/>
          <w:lang w:val="en-US" w:eastAsia="zh-CN"/>
        </w:rPr>
      </w:pPr>
      <w:r>
        <w:rPr>
          <w:rFonts w:hint="eastAsia" w:ascii="宋体" w:hAnsi="宋体" w:eastAsia="宋体" w:cs="Times New Roman"/>
          <w:i/>
          <w:iCs/>
          <w:sz w:val="23"/>
          <w:lang w:val="en-US" w:eastAsia="zh-CN"/>
        </w:rPr>
        <w:t>熔融塑化-挤出：项目吹膜机为电加热，将树脂颗粒加热至130~170℃，随后经吹膜机模头挤出，形成膜泡，此过程会产生废气（非甲烷总烃）、噪声。</w:t>
      </w:r>
    </w:p>
    <w:p w14:paraId="0F3F8A09">
      <w:pPr>
        <w:numPr>
          <w:ilvl w:val="0"/>
          <w:numId w:val="3"/>
        </w:numPr>
        <w:spacing w:line="360" w:lineRule="auto"/>
        <w:ind w:left="0" w:leftChars="0" w:firstLine="460" w:firstLineChars="200"/>
        <w:rPr>
          <w:rFonts w:hint="eastAsia" w:ascii="宋体" w:hAnsi="宋体" w:eastAsia="宋体" w:cs="Times New Roman"/>
          <w:i/>
          <w:iCs/>
          <w:sz w:val="23"/>
          <w:lang w:val="en-US" w:eastAsia="zh-CN"/>
        </w:rPr>
      </w:pPr>
      <w:r>
        <w:rPr>
          <w:rFonts w:hint="eastAsia" w:ascii="宋体" w:hAnsi="宋体" w:eastAsia="宋体" w:cs="Times New Roman"/>
          <w:i/>
          <w:iCs/>
          <w:sz w:val="23"/>
          <w:lang w:val="en-US" w:eastAsia="zh-CN"/>
        </w:rPr>
        <w:t>吹胀牵引-风冷成型：项目吹膜机组挤出机头为立式，挤出的薄膜垂直向上牵引，同时根据工艺要求设定压缩空气压力，从挤出机螺杆中心孔吹入膜泡内，从而达到纵向、横向的牵引拉伸，达到工艺要求，随后利用风机进行冷却定型。此过程会产生废气（非甲烷总烃）、噪声。</w:t>
      </w:r>
    </w:p>
    <w:p w14:paraId="76B821DC">
      <w:pPr>
        <w:spacing w:line="360" w:lineRule="auto"/>
        <w:ind w:firstLine="460" w:firstLineChars="200"/>
        <w:rPr>
          <w:rFonts w:hint="eastAsia" w:ascii="宋体" w:hAnsi="宋体" w:eastAsia="宋体" w:cs="Times New Roman"/>
          <w:i/>
          <w:iCs/>
          <w:sz w:val="23"/>
          <w:lang w:val="en-US" w:eastAsia="zh-CN"/>
        </w:rPr>
      </w:pPr>
      <w:r>
        <w:rPr>
          <w:rFonts w:hint="eastAsia" w:ascii="宋体" w:hAnsi="宋体" w:eastAsia="宋体" w:cs="Times New Roman"/>
          <w:i/>
          <w:iCs/>
          <w:sz w:val="23"/>
          <w:lang w:val="en-US" w:eastAsia="zh-CN"/>
        </w:rPr>
        <w:t>（4）收卷：将吹胀后的膜泡夹扁，膜卷用收卷机进行收卷，得到半成品膜卷。</w:t>
      </w:r>
    </w:p>
    <w:p w14:paraId="5B752E29">
      <w:pPr>
        <w:spacing w:line="360" w:lineRule="auto"/>
        <w:ind w:firstLine="460" w:firstLineChars="200"/>
        <w:rPr>
          <w:rFonts w:hint="eastAsia" w:ascii="宋体" w:hAnsi="宋体" w:eastAsia="宋体" w:cs="Times New Roman"/>
          <w:i/>
          <w:iCs/>
          <w:sz w:val="23"/>
          <w:lang w:val="en-US" w:eastAsia="zh-CN"/>
        </w:rPr>
      </w:pPr>
      <w:r>
        <w:rPr>
          <w:rFonts w:hint="eastAsia" w:ascii="宋体" w:hAnsi="宋体" w:eastAsia="宋体" w:cs="Times New Roman"/>
          <w:i/>
          <w:iCs/>
          <w:sz w:val="23"/>
          <w:lang w:val="en-US" w:eastAsia="zh-CN"/>
        </w:rPr>
        <w:t>（5）印刷：根据客户需要，小部分企业自己生产的塑料膜和外购的塑料膜需要进行图案印刷。此过程会产生废气（非甲烷总烃）、噪声。</w:t>
      </w:r>
    </w:p>
    <w:p w14:paraId="3A508648">
      <w:pPr>
        <w:spacing w:line="360" w:lineRule="auto"/>
        <w:ind w:firstLine="460" w:firstLineChars="200"/>
        <w:rPr>
          <w:rFonts w:hint="default" w:ascii="宋体" w:hAnsi="宋体" w:eastAsia="宋体" w:cs="Times New Roman"/>
          <w:i/>
          <w:iCs/>
          <w:sz w:val="23"/>
          <w:lang w:val="en-US" w:eastAsia="zh-CN"/>
        </w:rPr>
      </w:pPr>
      <w:r>
        <w:rPr>
          <w:rFonts w:hint="eastAsia" w:ascii="宋体" w:hAnsi="宋体" w:eastAsia="宋体" w:cs="Times New Roman"/>
          <w:i/>
          <w:iCs/>
          <w:sz w:val="23"/>
          <w:lang w:val="en-US" w:eastAsia="zh-CN"/>
        </w:rPr>
        <w:t>（6）制袋-包装入库：利用制袋机将膜卷加工成成品塑料袋，制袋机裁切温度为130℃，随后进行包装，入库待售。此过程会产生固废、废气、噪声。</w:t>
      </w:r>
    </w:p>
    <w:p w14:paraId="77466DAD">
      <w:pPr>
        <w:spacing w:line="360" w:lineRule="auto"/>
        <w:ind w:firstLine="460" w:firstLineChars="200"/>
        <w:rPr>
          <w:rFonts w:hint="eastAsia" w:ascii="宋体" w:hAnsi="宋体" w:eastAsia="宋体" w:cs="Times New Roman"/>
          <w:i/>
          <w:iCs/>
          <w:sz w:val="23"/>
          <w:lang w:val="en-US" w:eastAsia="zh-CN"/>
        </w:rPr>
      </w:pPr>
      <w:r>
        <w:rPr>
          <w:rFonts w:hint="eastAsia" w:ascii="宋体" w:hAnsi="宋体" w:eastAsia="宋体" w:cs="Times New Roman"/>
          <w:i/>
          <w:iCs/>
          <w:sz w:val="23"/>
          <w:lang w:val="en-US" w:eastAsia="zh-CN"/>
        </w:rPr>
        <w:t>本项目所用原料均为新料，无外购再生料。</w:t>
      </w:r>
    </w:p>
    <w:p w14:paraId="5DCF4B30">
      <w:pPr>
        <w:pStyle w:val="5"/>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3.6项目变动情况</w:t>
      </w:r>
      <w:bookmarkEnd w:id="150"/>
      <w:bookmarkEnd w:id="151"/>
      <w:bookmarkEnd w:id="152"/>
      <w:bookmarkEnd w:id="153"/>
      <w:bookmarkEnd w:id="154"/>
    </w:p>
    <w:p w14:paraId="7AFE0BA0">
      <w:pPr>
        <w:pStyle w:val="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3.6.1项目产品方案</w:t>
      </w:r>
    </w:p>
    <w:p w14:paraId="67C01516">
      <w:pPr>
        <w:pStyle w:val="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项目产品方案见表3-</w:t>
      </w:r>
      <w:r>
        <w:rPr>
          <w:rFonts w:hint="eastAsia" w:ascii="Times New Roman" w:hAnsi="Times New Roman" w:eastAsia="宋体" w:cs="Times New Roman"/>
          <w:b w:val="0"/>
          <w:bCs/>
          <w:sz w:val="24"/>
          <w:szCs w:val="24"/>
          <w:lang w:val="en-US" w:eastAsia="zh-CN"/>
        </w:rPr>
        <w:t>3</w:t>
      </w:r>
    </w:p>
    <w:p w14:paraId="5B141F2E">
      <w:pPr>
        <w:pStyle w:val="1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表3-</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产品方案及生产规模</w:t>
      </w:r>
    </w:p>
    <w:tbl>
      <w:tblPr>
        <w:tblStyle w:val="14"/>
        <w:tblW w:w="46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357"/>
        <w:gridCol w:w="1492"/>
        <w:gridCol w:w="1307"/>
        <w:gridCol w:w="1518"/>
        <w:gridCol w:w="1518"/>
      </w:tblGrid>
      <w:tr w14:paraId="647C0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90" w:type="pct"/>
            <w:noWrap w:val="0"/>
            <w:vAlign w:val="center"/>
          </w:tcPr>
          <w:p w14:paraId="684F01E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850" w:type="pct"/>
            <w:noWrap w:val="0"/>
            <w:vAlign w:val="center"/>
          </w:tcPr>
          <w:p w14:paraId="61497A2A">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产品</w:t>
            </w:r>
          </w:p>
        </w:tc>
        <w:tc>
          <w:tcPr>
            <w:tcW w:w="935" w:type="pct"/>
            <w:noWrap w:val="0"/>
            <w:vAlign w:val="center"/>
          </w:tcPr>
          <w:p w14:paraId="77DC772C">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审批产能</w:t>
            </w:r>
          </w:p>
        </w:tc>
        <w:tc>
          <w:tcPr>
            <w:tcW w:w="819" w:type="pct"/>
            <w:noWrap w:val="0"/>
            <w:vAlign w:val="center"/>
          </w:tcPr>
          <w:p w14:paraId="787F6BFA">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实际产能</w:t>
            </w:r>
          </w:p>
        </w:tc>
        <w:tc>
          <w:tcPr>
            <w:tcW w:w="951" w:type="pct"/>
            <w:noWrap w:val="0"/>
            <w:vAlign w:val="center"/>
          </w:tcPr>
          <w:p w14:paraId="1E990C38">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产能变化情况</w:t>
            </w:r>
          </w:p>
        </w:tc>
        <w:tc>
          <w:tcPr>
            <w:tcW w:w="951" w:type="pct"/>
            <w:noWrap w:val="0"/>
            <w:vAlign w:val="center"/>
          </w:tcPr>
          <w:p w14:paraId="66FC65BD">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备注</w:t>
            </w:r>
          </w:p>
        </w:tc>
      </w:tr>
      <w:tr w14:paraId="54A35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90" w:type="pct"/>
            <w:noWrap w:val="0"/>
            <w:vAlign w:val="center"/>
          </w:tcPr>
          <w:p w14:paraId="07B36358">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850" w:type="pct"/>
            <w:noWrap w:val="0"/>
            <w:vAlign w:val="center"/>
          </w:tcPr>
          <w:p w14:paraId="7549FD38">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塑料袋</w:t>
            </w:r>
          </w:p>
        </w:tc>
        <w:tc>
          <w:tcPr>
            <w:tcW w:w="935" w:type="pct"/>
            <w:noWrap w:val="0"/>
            <w:vAlign w:val="center"/>
          </w:tcPr>
          <w:p w14:paraId="55A89595">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500万只/年</w:t>
            </w:r>
          </w:p>
        </w:tc>
        <w:tc>
          <w:tcPr>
            <w:tcW w:w="819" w:type="pct"/>
            <w:shd w:val="clear" w:color="auto" w:fill="auto"/>
            <w:noWrap w:val="0"/>
            <w:vAlign w:val="center"/>
          </w:tcPr>
          <w:p w14:paraId="0740889C">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300万只/年</w:t>
            </w:r>
          </w:p>
        </w:tc>
        <w:tc>
          <w:tcPr>
            <w:tcW w:w="951" w:type="pct"/>
            <w:noWrap w:val="0"/>
            <w:vAlign w:val="center"/>
          </w:tcPr>
          <w:p w14:paraId="06A8C5B2">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-200万只/年</w:t>
            </w:r>
          </w:p>
        </w:tc>
        <w:tc>
          <w:tcPr>
            <w:tcW w:w="951" w:type="pct"/>
            <w:noWrap w:val="0"/>
            <w:vAlign w:val="center"/>
          </w:tcPr>
          <w:p w14:paraId="05B27250">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阶段性验收</w:t>
            </w:r>
          </w:p>
        </w:tc>
      </w:tr>
    </w:tbl>
    <w:p w14:paraId="0947D067">
      <w:pPr>
        <w:pStyle w:val="1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p>
    <w:p w14:paraId="615F8F0E">
      <w:pPr>
        <w:pStyle w:val="2"/>
        <w:ind w:left="0" w:leftChars="0" w:firstLine="0" w:firstLineChars="0"/>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3.6.2变动情况</w:t>
      </w:r>
    </w:p>
    <w:p w14:paraId="12A2977E">
      <w:pPr>
        <w:pStyle w:val="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根据现场勘查和企业提供的资料，本项目建设情况变动见表3-</w:t>
      </w:r>
      <w:r>
        <w:rPr>
          <w:rFonts w:hint="eastAsia" w:ascii="Times New Roman" w:hAnsi="Times New Roman" w:eastAsia="宋体" w:cs="Times New Roman"/>
          <w:b w:val="0"/>
          <w:bCs/>
          <w:sz w:val="24"/>
          <w:szCs w:val="24"/>
          <w:lang w:val="en-US" w:eastAsia="zh-CN"/>
        </w:rPr>
        <w:t>4。</w:t>
      </w:r>
    </w:p>
    <w:p w14:paraId="76A14505">
      <w:pPr>
        <w:pStyle w:val="1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表3-</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建设情况变动</w:t>
      </w:r>
      <w:r>
        <w:rPr>
          <w:rFonts w:hint="eastAsia" w:ascii="Times New Roman" w:hAnsi="Times New Roman" w:eastAsia="宋体" w:cs="Times New Roman"/>
          <w:color w:val="auto"/>
          <w:sz w:val="24"/>
          <w:szCs w:val="24"/>
          <w:lang w:val="en-US" w:eastAsia="zh-CN"/>
        </w:rPr>
        <w:t>表</w:t>
      </w:r>
    </w:p>
    <w:tbl>
      <w:tblPr>
        <w:tblStyle w:val="15"/>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596"/>
        <w:gridCol w:w="1845"/>
        <w:gridCol w:w="2010"/>
        <w:gridCol w:w="2225"/>
      </w:tblGrid>
      <w:tr w14:paraId="588F3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43" w:type="dxa"/>
            <w:vAlign w:val="center"/>
          </w:tcPr>
          <w:p w14:paraId="4208F0CD">
            <w:pPr>
              <w:jc w:val="center"/>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序号</w:t>
            </w:r>
          </w:p>
        </w:tc>
        <w:tc>
          <w:tcPr>
            <w:tcW w:w="1596" w:type="dxa"/>
            <w:vAlign w:val="center"/>
          </w:tcPr>
          <w:p w14:paraId="06014A36">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项目</w:t>
            </w:r>
          </w:p>
        </w:tc>
        <w:tc>
          <w:tcPr>
            <w:tcW w:w="1845" w:type="dxa"/>
            <w:vAlign w:val="center"/>
          </w:tcPr>
          <w:p w14:paraId="044D571E">
            <w:pPr>
              <w:jc w:val="center"/>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环评</w:t>
            </w:r>
            <w:r>
              <w:rPr>
                <w:rFonts w:hint="eastAsia" w:ascii="宋体" w:hAnsi="宋体" w:eastAsia="宋体" w:cs="宋体"/>
                <w:kern w:val="2"/>
                <w:sz w:val="21"/>
                <w:szCs w:val="21"/>
                <w:lang w:val="en-US" w:eastAsia="zh-CN" w:bidi="ar-SA"/>
              </w:rPr>
              <w:t>审批</w:t>
            </w:r>
          </w:p>
        </w:tc>
        <w:tc>
          <w:tcPr>
            <w:tcW w:w="2010" w:type="dxa"/>
            <w:vAlign w:val="center"/>
          </w:tcPr>
          <w:p w14:paraId="7A72186F">
            <w:pPr>
              <w:jc w:val="center"/>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实际情况</w:t>
            </w:r>
          </w:p>
        </w:tc>
        <w:tc>
          <w:tcPr>
            <w:tcW w:w="2225" w:type="dxa"/>
            <w:vAlign w:val="center"/>
          </w:tcPr>
          <w:p w14:paraId="0E5498B4">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备注</w:t>
            </w:r>
          </w:p>
        </w:tc>
      </w:tr>
      <w:tr w14:paraId="5604C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43" w:type="dxa"/>
            <w:vAlign w:val="center"/>
          </w:tcPr>
          <w:p w14:paraId="74652ED0">
            <w:pPr>
              <w:jc w:val="center"/>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1</w:t>
            </w:r>
          </w:p>
        </w:tc>
        <w:tc>
          <w:tcPr>
            <w:tcW w:w="7676" w:type="dxa"/>
            <w:gridSpan w:val="4"/>
            <w:vAlign w:val="center"/>
          </w:tcPr>
          <w:p w14:paraId="0B37AC83">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本项目具体变动情况见表3-1～表3-3，本次为阶段性验收。</w:t>
            </w:r>
          </w:p>
        </w:tc>
      </w:tr>
    </w:tbl>
    <w:p w14:paraId="2BD487B2">
      <w:pPr>
        <w:pStyle w:val="4"/>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bookmarkStart w:id="155" w:name="_Toc28878"/>
    </w:p>
    <w:p w14:paraId="2E9B6516">
      <w:pPr>
        <w:pStyle w:val="4"/>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p>
    <w:p w14:paraId="6F7B6D46">
      <w:pPr>
        <w:rPr>
          <w:rFonts w:hint="default"/>
          <w:lang w:val="en-US" w:eastAsia="zh-CN"/>
        </w:rPr>
      </w:pPr>
    </w:p>
    <w:p w14:paraId="0709EDCF">
      <w:pPr>
        <w:pStyle w:val="4"/>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p>
    <w:p w14:paraId="64D5390B">
      <w:pPr>
        <w:pStyle w:val="4"/>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p>
    <w:p w14:paraId="54EEDCDD">
      <w:pPr>
        <w:rPr>
          <w:rFonts w:hint="default" w:ascii="Times New Roman" w:hAnsi="Times New Roman" w:eastAsia="宋体" w:cs="Times New Roman"/>
          <w:lang w:val="en-US" w:eastAsia="zh-CN"/>
        </w:rPr>
      </w:pPr>
    </w:p>
    <w:p w14:paraId="7BED6B96">
      <w:pPr>
        <w:pStyle w:val="8"/>
        <w:rPr>
          <w:rFonts w:hint="default" w:ascii="Times New Roman" w:hAnsi="Times New Roman" w:eastAsia="宋体" w:cs="Times New Roman"/>
          <w:lang w:val="en-US" w:eastAsia="zh-CN"/>
        </w:rPr>
      </w:pPr>
    </w:p>
    <w:p w14:paraId="3C6BFD6B">
      <w:pPr>
        <w:pStyle w:val="4"/>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四、环境保护设施</w:t>
      </w:r>
      <w:bookmarkEnd w:id="155"/>
    </w:p>
    <w:p w14:paraId="2041A73D">
      <w:pPr>
        <w:pStyle w:val="5"/>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val="0"/>
          <w:bCs/>
          <w:lang w:val="en-US" w:eastAsia="zh-CN"/>
        </w:rPr>
      </w:pPr>
      <w:bookmarkStart w:id="156" w:name="_Toc9355"/>
      <w:bookmarkStart w:id="157" w:name="_Toc20424"/>
      <w:bookmarkStart w:id="158" w:name="_Toc27848"/>
      <w:bookmarkStart w:id="159" w:name="_Toc21310"/>
      <w:bookmarkStart w:id="160" w:name="_Toc22749"/>
      <w:r>
        <w:rPr>
          <w:rFonts w:hint="default" w:ascii="Times New Roman" w:hAnsi="Times New Roman" w:eastAsia="宋体" w:cs="Times New Roman"/>
          <w:b w:val="0"/>
          <w:bCs/>
          <w:lang w:val="en-US" w:eastAsia="zh-CN"/>
        </w:rPr>
        <w:t>4.1污染物治理/防治措施</w:t>
      </w:r>
      <w:bookmarkEnd w:id="156"/>
      <w:bookmarkEnd w:id="157"/>
      <w:bookmarkEnd w:id="158"/>
      <w:bookmarkEnd w:id="159"/>
      <w:bookmarkEnd w:id="160"/>
    </w:p>
    <w:p w14:paraId="62E079C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4.1</w:t>
      </w:r>
      <w:r>
        <w:rPr>
          <w:rFonts w:hint="eastAsia" w:ascii="Times New Roman" w:hAnsi="Times New Roman" w:eastAsia="宋体" w:cs="Times New Roman"/>
          <w:b w:val="0"/>
          <w:bCs w:val="0"/>
          <w:sz w:val="24"/>
          <w:szCs w:val="24"/>
          <w:lang w:val="en-US" w:eastAsia="zh-CN"/>
        </w:rPr>
        <w:t>.1</w:t>
      </w:r>
      <w:r>
        <w:rPr>
          <w:rFonts w:hint="default" w:ascii="Times New Roman" w:hAnsi="Times New Roman" w:eastAsia="宋体" w:cs="Times New Roman"/>
          <w:b w:val="0"/>
          <w:bCs w:val="0"/>
          <w:sz w:val="24"/>
          <w:szCs w:val="24"/>
          <w:lang w:val="en-US" w:eastAsia="zh-CN"/>
        </w:rPr>
        <w:t>废水</w:t>
      </w:r>
    </w:p>
    <w:p w14:paraId="08054F53">
      <w:pPr>
        <w:adjustRightInd w:val="0"/>
        <w:snapToGrid w:val="0"/>
        <w:spacing w:line="360" w:lineRule="auto"/>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企业厂区内不单独设置厕所、化粪池，员工使用村集中公共卫生间，由村委集中统一清运。</w:t>
      </w:r>
    </w:p>
    <w:p w14:paraId="3FB11A76">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.2废气</w:t>
      </w:r>
    </w:p>
    <w:p w14:paraId="2C9BC6A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宋体" w:hAnsi="宋体" w:cs="宋体"/>
          <w:sz w:val="24"/>
          <w:lang w:val="en-US" w:eastAsia="zh-CN"/>
        </w:rPr>
      </w:pPr>
      <w:bookmarkStart w:id="161" w:name="_Toc19930"/>
      <w:bookmarkStart w:id="162" w:name="_Toc12100"/>
      <w:bookmarkStart w:id="163" w:name="_Toc7038"/>
      <w:bookmarkStart w:id="164" w:name="_Toc32137"/>
      <w:r>
        <w:rPr>
          <w:rFonts w:hint="eastAsia" w:ascii="宋体" w:hAnsi="宋体" w:cs="宋体"/>
          <w:sz w:val="24"/>
        </w:rPr>
        <w:t>本项目生产过程中产生的废气主要</w:t>
      </w:r>
      <w:r>
        <w:rPr>
          <w:rFonts w:hint="eastAsia" w:ascii="宋体" w:hAnsi="宋体" w:cs="宋体"/>
          <w:sz w:val="24"/>
          <w:lang w:val="en-US" w:eastAsia="zh-CN"/>
        </w:rPr>
        <w:t>为吹膜、制袋、印刷有机废气。</w:t>
      </w:r>
    </w:p>
    <w:p w14:paraId="7360FD8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企业在废气产生工段安装有收集装置，收集后经活性炭吸附装置处理后15m高空排放。</w:t>
      </w:r>
    </w:p>
    <w:p w14:paraId="42A8A18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pPr>
      <w:r>
        <w:drawing>
          <wp:inline distT="0" distB="0" distL="114300" distR="114300">
            <wp:extent cx="4176395" cy="2734310"/>
            <wp:effectExtent l="0" t="0" r="1905" b="889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8"/>
                    <a:stretch>
                      <a:fillRect/>
                    </a:stretch>
                  </pic:blipFill>
                  <pic:spPr>
                    <a:xfrm>
                      <a:off x="0" y="0"/>
                      <a:ext cx="4176395" cy="2734310"/>
                    </a:xfrm>
                    <a:prstGeom prst="rect">
                      <a:avLst/>
                    </a:prstGeom>
                    <a:noFill/>
                    <a:ln>
                      <a:noFill/>
                    </a:ln>
                  </pic:spPr>
                </pic:pic>
              </a:graphicData>
            </a:graphic>
          </wp:inline>
        </w:drawing>
      </w:r>
    </w:p>
    <w:p w14:paraId="3605016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center"/>
        <w:textAlignment w:val="auto"/>
        <w:rPr>
          <w:rFonts w:hint="eastAsia"/>
          <w:lang w:val="en-US" w:eastAsia="zh-CN"/>
        </w:rPr>
      </w:pPr>
      <w:r>
        <w:rPr>
          <w:rFonts w:hint="eastAsia"/>
          <w:lang w:val="en-US" w:eastAsia="zh-CN"/>
        </w:rPr>
        <w:t>活性炭吸附处理装置</w:t>
      </w:r>
    </w:p>
    <w:p w14:paraId="5FF8BFB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center"/>
        <w:textAlignment w:val="auto"/>
        <w:rPr>
          <w:rFonts w:hint="eastAsia"/>
          <w:lang w:val="en-US" w:eastAsia="zh-CN"/>
        </w:rPr>
      </w:pPr>
    </w:p>
    <w:p w14:paraId="4B4B3C3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center"/>
        <w:textAlignment w:val="auto"/>
        <w:rPr>
          <w:rFonts w:hint="eastAsia"/>
          <w:lang w:val="en-US" w:eastAsia="zh-CN"/>
        </w:rPr>
      </w:pPr>
    </w:p>
    <w:p w14:paraId="44EF126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center"/>
        <w:textAlignment w:val="auto"/>
        <w:rPr>
          <w:rFonts w:hint="eastAsia"/>
          <w:lang w:val="en-US" w:eastAsia="zh-CN"/>
        </w:rPr>
      </w:pPr>
    </w:p>
    <w:p w14:paraId="0233272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center"/>
        <w:textAlignment w:val="auto"/>
        <w:rPr>
          <w:rFonts w:hint="eastAsia"/>
          <w:lang w:val="en-US" w:eastAsia="zh-CN"/>
        </w:rPr>
      </w:pPr>
    </w:p>
    <w:p w14:paraId="745A9E8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center"/>
        <w:textAlignment w:val="auto"/>
        <w:rPr>
          <w:rFonts w:hint="eastAsia"/>
          <w:lang w:val="en-US" w:eastAsia="zh-CN"/>
        </w:rPr>
      </w:pPr>
    </w:p>
    <w:p w14:paraId="5497A38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center"/>
        <w:textAlignment w:val="auto"/>
      </w:pPr>
      <w:r>
        <w:drawing>
          <wp:inline distT="0" distB="0" distL="114300" distR="114300">
            <wp:extent cx="3209290" cy="3220085"/>
            <wp:effectExtent l="0" t="0" r="3810" b="571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9"/>
                    <a:stretch>
                      <a:fillRect/>
                    </a:stretch>
                  </pic:blipFill>
                  <pic:spPr>
                    <a:xfrm>
                      <a:off x="0" y="0"/>
                      <a:ext cx="3209290" cy="3220085"/>
                    </a:xfrm>
                    <a:prstGeom prst="rect">
                      <a:avLst/>
                    </a:prstGeom>
                    <a:noFill/>
                    <a:ln>
                      <a:noFill/>
                    </a:ln>
                  </pic:spPr>
                </pic:pic>
              </a:graphicData>
            </a:graphic>
          </wp:inline>
        </w:drawing>
      </w:r>
    </w:p>
    <w:p w14:paraId="28B17FB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center"/>
        <w:textAlignment w:val="auto"/>
        <w:rPr>
          <w:rFonts w:hint="default" w:eastAsiaTheme="minorEastAsia"/>
          <w:lang w:val="en-US" w:eastAsia="zh-CN"/>
        </w:rPr>
      </w:pPr>
      <w:r>
        <w:rPr>
          <w:rFonts w:hint="eastAsia"/>
          <w:lang w:val="en-US" w:eastAsia="zh-CN"/>
        </w:rPr>
        <w:t>废气出口采样口</w:t>
      </w:r>
    </w:p>
    <w:p w14:paraId="3B0BA32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center"/>
        <w:textAlignment w:val="auto"/>
      </w:pPr>
    </w:p>
    <w:p w14:paraId="21A5B58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center"/>
        <w:textAlignment w:val="auto"/>
      </w:pPr>
      <w:r>
        <w:drawing>
          <wp:inline distT="0" distB="0" distL="114300" distR="114300">
            <wp:extent cx="4361815" cy="3535045"/>
            <wp:effectExtent l="0" t="0" r="6985" b="825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0"/>
                    <a:stretch>
                      <a:fillRect/>
                    </a:stretch>
                  </pic:blipFill>
                  <pic:spPr>
                    <a:xfrm>
                      <a:off x="0" y="0"/>
                      <a:ext cx="4361815" cy="3535045"/>
                    </a:xfrm>
                    <a:prstGeom prst="rect">
                      <a:avLst/>
                    </a:prstGeom>
                    <a:noFill/>
                    <a:ln>
                      <a:noFill/>
                    </a:ln>
                  </pic:spPr>
                </pic:pic>
              </a:graphicData>
            </a:graphic>
          </wp:inline>
        </w:drawing>
      </w:r>
    </w:p>
    <w:p w14:paraId="4776BC3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center"/>
        <w:textAlignment w:val="auto"/>
      </w:pPr>
    </w:p>
    <w:p w14:paraId="5414360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center"/>
        <w:textAlignment w:val="auto"/>
        <w:rPr>
          <w:rFonts w:hint="default" w:eastAsiaTheme="minorEastAsia"/>
          <w:lang w:val="en-US" w:eastAsia="zh-CN"/>
        </w:rPr>
      </w:pPr>
      <w:r>
        <w:rPr>
          <w:rFonts w:hint="eastAsia"/>
          <w:lang w:val="en-US" w:eastAsia="zh-CN"/>
        </w:rPr>
        <w:t>废气进口采样口</w:t>
      </w:r>
    </w:p>
    <w:p w14:paraId="504A76B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center"/>
        <w:textAlignment w:val="auto"/>
        <w:rPr>
          <w:rFonts w:hint="default"/>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20FC330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4</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1</w:t>
      </w:r>
      <w:r>
        <w:rPr>
          <w:rFonts w:hint="default" w:ascii="Times New Roman" w:hAnsi="Times New Roman" w:eastAsia="宋体" w:cs="Times New Roman"/>
          <w:b w:val="0"/>
          <w:bCs w:val="0"/>
          <w:sz w:val="24"/>
          <w:szCs w:val="24"/>
          <w:lang w:val="en-US" w:eastAsia="zh-CN"/>
        </w:rPr>
        <w:t>.3噪声</w:t>
      </w:r>
    </w:p>
    <w:p w14:paraId="5DC16C4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本项目噪声主要为</w:t>
      </w:r>
      <w:r>
        <w:rPr>
          <w:rFonts w:hint="eastAsia" w:ascii="Times New Roman" w:hAnsi="Times New Roman" w:eastAsia="宋体" w:cs="Times New Roman"/>
          <w:sz w:val="24"/>
          <w:szCs w:val="24"/>
          <w:lang w:val="en-US" w:eastAsia="zh-CN"/>
        </w:rPr>
        <w:t>吹膜机、印刷机等设备运行过程中产生</w:t>
      </w:r>
      <w:r>
        <w:rPr>
          <w:rFonts w:hint="default" w:ascii="Times New Roman" w:hAnsi="Times New Roman" w:eastAsia="宋体" w:cs="Times New Roman"/>
          <w:sz w:val="24"/>
          <w:szCs w:val="24"/>
          <w:lang w:val="en-US" w:eastAsia="zh-CN"/>
        </w:rPr>
        <w:t>。采取一定程度的封闭、隔音处理，噪声要求达到《工业企业厂界环境噪声排放标准》（GB12348-2008）中的2类标准。</w:t>
      </w:r>
    </w:p>
    <w:p w14:paraId="137C455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4</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1</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4固废</w:t>
      </w:r>
    </w:p>
    <w:p w14:paraId="1AAF08D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生活垃圾由</w:t>
      </w:r>
      <w:r>
        <w:rPr>
          <w:rFonts w:hint="eastAsia" w:ascii="Times New Roman" w:hAnsi="Times New Roman" w:eastAsia="宋体" w:cs="Times New Roman"/>
          <w:sz w:val="24"/>
          <w:szCs w:val="24"/>
          <w:lang w:val="en-US" w:eastAsia="zh-CN"/>
        </w:rPr>
        <w:t>村委</w:t>
      </w:r>
      <w:r>
        <w:rPr>
          <w:rFonts w:hint="default" w:ascii="Times New Roman" w:hAnsi="Times New Roman" w:eastAsia="宋体" w:cs="Times New Roman"/>
          <w:sz w:val="24"/>
          <w:szCs w:val="24"/>
          <w:lang w:val="en-US" w:eastAsia="zh-CN"/>
        </w:rPr>
        <w:t>统一清运后处置</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次品、边角料委托一般固废处置公司安全处置；</w:t>
      </w:r>
      <w:r>
        <w:rPr>
          <w:rFonts w:hint="eastAsia" w:ascii="Times New Roman" w:hAnsi="Times New Roman" w:eastAsia="宋体" w:cs="Times New Roman"/>
          <w:sz w:val="24"/>
          <w:szCs w:val="24"/>
          <w:lang w:val="en-US" w:eastAsia="zh-CN"/>
        </w:rPr>
        <w:t>废包装桶、废油、废擦拭布、废活性炭均属于危险固废</w:t>
      </w:r>
      <w:r>
        <w:rPr>
          <w:rFonts w:hint="default" w:ascii="Times New Roman" w:hAnsi="Times New Roman" w:eastAsia="宋体" w:cs="Times New Roman"/>
          <w:sz w:val="24"/>
          <w:szCs w:val="24"/>
          <w:lang w:val="en-US" w:eastAsia="zh-CN"/>
        </w:rPr>
        <w:t>，委托</w:t>
      </w:r>
      <w:r>
        <w:rPr>
          <w:rFonts w:hint="eastAsia" w:ascii="Times New Roman" w:hAnsi="Times New Roman" w:eastAsia="宋体" w:cs="Times New Roman"/>
          <w:sz w:val="24"/>
          <w:szCs w:val="24"/>
          <w:lang w:val="en-US" w:eastAsia="zh-CN"/>
        </w:rPr>
        <w:t>有资质单位杭州沈达环境科技有限公司</w:t>
      </w:r>
      <w:r>
        <w:rPr>
          <w:rFonts w:hint="default" w:ascii="Times New Roman" w:hAnsi="Times New Roman" w:eastAsia="宋体" w:cs="Times New Roman"/>
          <w:sz w:val="24"/>
          <w:szCs w:val="24"/>
          <w:lang w:val="en-US" w:eastAsia="zh-CN"/>
        </w:rPr>
        <w:t>安全</w:t>
      </w:r>
      <w:r>
        <w:rPr>
          <w:rFonts w:hint="eastAsia" w:ascii="Times New Roman" w:hAnsi="Times New Roman" w:eastAsia="宋体" w:cs="Times New Roman"/>
          <w:sz w:val="24"/>
          <w:szCs w:val="24"/>
          <w:lang w:val="en-US" w:eastAsia="zh-CN"/>
        </w:rPr>
        <w:t>转运</w:t>
      </w:r>
      <w:r>
        <w:rPr>
          <w:rFonts w:hint="default" w:ascii="Times New Roman" w:hAnsi="Times New Roman" w:eastAsia="宋体" w:cs="Times New Roman"/>
          <w:sz w:val="24"/>
          <w:szCs w:val="24"/>
          <w:lang w:val="en-US" w:eastAsia="zh-CN"/>
        </w:rPr>
        <w:t>处置</w:t>
      </w:r>
      <w:r>
        <w:rPr>
          <w:rFonts w:hint="eastAsia" w:ascii="Times New Roman" w:hAnsi="Times New Roman" w:eastAsia="宋体" w:cs="Times New Roman"/>
          <w:sz w:val="24"/>
          <w:szCs w:val="24"/>
          <w:lang w:val="en-US" w:eastAsia="zh-CN"/>
        </w:rPr>
        <w:t>，平时存放应按照危废管理，同时做好危废仓库的防雨、防渗漏、防扬撒“三防”措施。</w:t>
      </w:r>
    </w:p>
    <w:p w14:paraId="1373054E">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1"/>
        <w:rPr>
          <w:rFonts w:hint="default" w:ascii="Times New Roman" w:hAnsi="Times New Roman" w:eastAsia="宋体" w:cs="Times New Roman"/>
          <w:lang w:val="en-US" w:eastAsia="zh-CN"/>
        </w:rPr>
      </w:pPr>
      <w:r>
        <w:drawing>
          <wp:inline distT="0" distB="0" distL="114300" distR="114300">
            <wp:extent cx="5267325" cy="4617720"/>
            <wp:effectExtent l="0" t="0" r="317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67325" cy="4617720"/>
                    </a:xfrm>
                    <a:prstGeom prst="rect">
                      <a:avLst/>
                    </a:prstGeom>
                    <a:noFill/>
                    <a:ln>
                      <a:noFill/>
                    </a:ln>
                  </pic:spPr>
                </pic:pic>
              </a:graphicData>
            </a:graphic>
          </wp:inline>
        </w:drawing>
      </w:r>
    </w:p>
    <w:p w14:paraId="53C43EAC">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1"/>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危废仓库</w:t>
      </w:r>
    </w:p>
    <w:p w14:paraId="1830A63C">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1"/>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4.2环保设施投资</w:t>
      </w:r>
      <w:bookmarkEnd w:id="161"/>
      <w:bookmarkEnd w:id="162"/>
      <w:bookmarkEnd w:id="163"/>
      <w:bookmarkEnd w:id="164"/>
    </w:p>
    <w:p w14:paraId="3B34A4D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rPr>
        <w:t>环保投资是实现各项环保措施的重要保证。为了使该项目的发展与环境保护相协调，企业应该在废水处理、噪声防治、固废收集等环境保护工作上投入一定资金，以确保环境污染防治工程措施到位，使环保“三同时”工作得到落实，本项目环保投资估算为</w:t>
      </w:r>
      <w:r>
        <w:rPr>
          <w:rFonts w:hint="eastAsia" w:ascii="Times New Roman" w:hAnsi="Times New Roman" w:eastAsia="宋体" w:cs="Times New Roman"/>
          <w:lang w:val="en-US" w:eastAsia="zh-CN"/>
        </w:rPr>
        <w:t>180</w:t>
      </w:r>
      <w:r>
        <w:rPr>
          <w:rFonts w:hint="default" w:ascii="Times New Roman" w:hAnsi="Times New Roman" w:eastAsia="宋体" w:cs="Times New Roman"/>
        </w:rPr>
        <w:t>万元,主要为</w:t>
      </w:r>
      <w:r>
        <w:rPr>
          <w:rFonts w:hint="eastAsia" w:ascii="Times New Roman" w:hAnsi="Times New Roman" w:eastAsia="宋体" w:cs="Times New Roman"/>
          <w:lang w:eastAsia="zh-CN"/>
        </w:rPr>
        <w:t>废水治理设施</w:t>
      </w:r>
      <w:r>
        <w:rPr>
          <w:rFonts w:hint="default" w:ascii="Times New Roman" w:hAnsi="Times New Roman" w:eastAsia="宋体" w:cs="Times New Roman"/>
        </w:rPr>
        <w:t>、噪声治理设施的购置等，占项目总投资的</w:t>
      </w:r>
      <w:r>
        <w:rPr>
          <w:rFonts w:hint="eastAsia" w:ascii="Times New Roman" w:hAnsi="Times New Roman" w:eastAsia="宋体" w:cs="Times New Roman"/>
          <w:lang w:val="en-US" w:eastAsia="zh-CN"/>
        </w:rPr>
        <w:t>4.6</w:t>
      </w:r>
      <w:r>
        <w:rPr>
          <w:rFonts w:hint="default" w:ascii="Times New Roman" w:hAnsi="Times New Roman" w:eastAsia="宋体" w:cs="Times New Roman"/>
        </w:rPr>
        <w:t>%左右</w:t>
      </w:r>
      <w:r>
        <w:rPr>
          <w:rFonts w:hint="default" w:ascii="Times New Roman" w:hAnsi="Times New Roman" w:eastAsia="宋体" w:cs="Times New Roman"/>
          <w:lang w:eastAsia="zh-CN"/>
        </w:rPr>
        <w:t>，</w:t>
      </w:r>
      <w:r>
        <w:rPr>
          <w:rFonts w:hint="default" w:ascii="Times New Roman" w:hAnsi="Times New Roman" w:eastAsia="宋体" w:cs="Times New Roman"/>
        </w:rPr>
        <w:t>见表</w:t>
      </w:r>
      <w:r>
        <w:rPr>
          <w:rFonts w:hint="default" w:ascii="Times New Roman" w:hAnsi="Times New Roman" w:eastAsia="宋体" w:cs="Times New Roman"/>
          <w:sz w:val="23"/>
          <w:szCs w:val="23"/>
          <w:lang w:val="en-US" w:eastAsia="zh-CN"/>
        </w:rPr>
        <w:t>4-</w:t>
      </w:r>
      <w:r>
        <w:rPr>
          <w:rFonts w:hint="eastAsia" w:ascii="Times New Roman" w:hAnsi="Times New Roman" w:eastAsia="宋体" w:cs="Times New Roman"/>
          <w:sz w:val="23"/>
          <w:szCs w:val="23"/>
          <w:lang w:val="en-US" w:eastAsia="zh-CN"/>
        </w:rPr>
        <w:t>1</w:t>
      </w:r>
      <w:r>
        <w:rPr>
          <w:rFonts w:hint="default" w:ascii="Times New Roman" w:hAnsi="Times New Roman" w:eastAsia="宋体" w:cs="Times New Roman"/>
        </w:rPr>
        <w:t>。</w:t>
      </w:r>
    </w:p>
    <w:p w14:paraId="0FB21ECF">
      <w:pPr>
        <w:jc w:val="center"/>
        <w:rPr>
          <w:rFonts w:hint="eastAsia" w:ascii="黑体" w:hAnsi="宋体" w:eastAsia="黑体"/>
          <w:sz w:val="23"/>
          <w:szCs w:val="23"/>
        </w:rPr>
      </w:pPr>
      <w:r>
        <w:rPr>
          <w:rFonts w:hint="default" w:ascii="Times New Roman" w:hAnsi="Times New Roman" w:eastAsia="宋体" w:cs="Times New Roman"/>
          <w:color w:val="auto"/>
          <w:highlight w:val="none"/>
          <w:lang w:val="en-US" w:eastAsia="zh-CN"/>
        </w:rPr>
        <w:t>表4</w:t>
      </w:r>
      <w:r>
        <w:rPr>
          <w:rFonts w:hint="eastAsia" w:ascii="Times New Roman" w:hAnsi="Times New Roman" w:eastAsia="宋体" w:cs="Times New Roman"/>
          <w:color w:val="auto"/>
          <w:highlight w:val="none"/>
          <w:lang w:val="en-US" w:eastAsia="zh-CN"/>
        </w:rPr>
        <w:t>-1</w:t>
      </w:r>
      <w:r>
        <w:rPr>
          <w:rFonts w:hint="eastAsia" w:ascii="宋体" w:hAnsi="宋体" w:eastAsia="宋体" w:cs="宋体"/>
          <w:b/>
          <w:bCs/>
          <w:spacing w:val="-10"/>
          <w:sz w:val="23"/>
          <w:szCs w:val="23"/>
        </w:rPr>
        <w:t>环保投资费用估算</w:t>
      </w:r>
      <w:r>
        <w:rPr>
          <w:rFonts w:ascii="黑体" w:hAnsi="宋体" w:eastAsia="黑体"/>
          <w:sz w:val="23"/>
          <w:szCs w:val="23"/>
        </w:rPr>
        <w:t>建设项目环保投资估算</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405"/>
        <w:gridCol w:w="4037"/>
        <w:gridCol w:w="1648"/>
      </w:tblGrid>
      <w:tr w14:paraId="7E6F9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02" w:type="dxa"/>
            <w:tcBorders>
              <w:tl2br w:val="nil"/>
              <w:tr2bl w:val="nil"/>
            </w:tcBorders>
            <w:noWrap w:val="0"/>
            <w:vAlign w:val="center"/>
          </w:tcPr>
          <w:p w14:paraId="1DD1CF82">
            <w:pPr>
              <w:jc w:val="center"/>
              <w:rPr>
                <w:rFonts w:hint="eastAsia" w:ascii="黑体" w:hAnsi="宋体" w:eastAsia="黑体"/>
                <w:sz w:val="23"/>
                <w:szCs w:val="23"/>
              </w:rPr>
            </w:pPr>
            <w:r>
              <w:rPr>
                <w:rFonts w:hint="eastAsia" w:ascii="黑体" w:hAnsi="宋体" w:eastAsia="黑体"/>
                <w:sz w:val="23"/>
                <w:szCs w:val="23"/>
              </w:rPr>
              <w:t>序号</w:t>
            </w:r>
          </w:p>
        </w:tc>
        <w:tc>
          <w:tcPr>
            <w:tcW w:w="1405" w:type="dxa"/>
            <w:tcBorders>
              <w:tl2br w:val="nil"/>
              <w:tr2bl w:val="nil"/>
            </w:tcBorders>
            <w:noWrap w:val="0"/>
            <w:vAlign w:val="center"/>
          </w:tcPr>
          <w:p w14:paraId="03D66F0E">
            <w:pPr>
              <w:jc w:val="center"/>
              <w:rPr>
                <w:rFonts w:hint="eastAsia" w:ascii="黑体" w:hAnsi="宋体" w:eastAsia="黑体"/>
                <w:sz w:val="23"/>
                <w:szCs w:val="23"/>
              </w:rPr>
            </w:pPr>
            <w:r>
              <w:rPr>
                <w:rFonts w:hint="eastAsia" w:ascii="黑体" w:hAnsi="宋体" w:eastAsia="黑体"/>
                <w:sz w:val="23"/>
                <w:szCs w:val="23"/>
              </w:rPr>
              <w:t>项目</w:t>
            </w:r>
          </w:p>
        </w:tc>
        <w:tc>
          <w:tcPr>
            <w:tcW w:w="4037" w:type="dxa"/>
            <w:tcBorders>
              <w:tl2br w:val="nil"/>
              <w:tr2bl w:val="nil"/>
            </w:tcBorders>
            <w:noWrap w:val="0"/>
            <w:vAlign w:val="center"/>
          </w:tcPr>
          <w:p w14:paraId="675EC032">
            <w:pPr>
              <w:jc w:val="center"/>
              <w:rPr>
                <w:rFonts w:hint="eastAsia" w:ascii="黑体" w:hAnsi="宋体" w:eastAsia="黑体"/>
                <w:sz w:val="23"/>
                <w:szCs w:val="23"/>
              </w:rPr>
            </w:pPr>
            <w:r>
              <w:rPr>
                <w:rFonts w:hint="eastAsia" w:ascii="黑体" w:hAnsi="宋体" w:eastAsia="黑体"/>
                <w:sz w:val="23"/>
                <w:szCs w:val="23"/>
              </w:rPr>
              <w:t>内容</w:t>
            </w:r>
          </w:p>
        </w:tc>
        <w:tc>
          <w:tcPr>
            <w:tcW w:w="1648" w:type="dxa"/>
            <w:tcBorders>
              <w:tl2br w:val="nil"/>
              <w:tr2bl w:val="nil"/>
            </w:tcBorders>
            <w:noWrap w:val="0"/>
            <w:vAlign w:val="center"/>
          </w:tcPr>
          <w:p w14:paraId="3DE80DB2">
            <w:pPr>
              <w:jc w:val="center"/>
              <w:rPr>
                <w:rFonts w:hint="eastAsia" w:ascii="黑体" w:hAnsi="宋体" w:eastAsia="黑体"/>
                <w:sz w:val="23"/>
                <w:szCs w:val="23"/>
              </w:rPr>
            </w:pPr>
            <w:r>
              <w:rPr>
                <w:rFonts w:hint="eastAsia" w:ascii="黑体" w:hAnsi="宋体" w:eastAsia="黑体"/>
                <w:sz w:val="23"/>
                <w:szCs w:val="23"/>
              </w:rPr>
              <w:t>投资（万元）</w:t>
            </w:r>
          </w:p>
        </w:tc>
      </w:tr>
      <w:tr w14:paraId="0F50C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tl2br w:val="nil"/>
              <w:tr2bl w:val="nil"/>
            </w:tcBorders>
            <w:noWrap w:val="0"/>
            <w:vAlign w:val="center"/>
          </w:tcPr>
          <w:p w14:paraId="3D16C363">
            <w:pPr>
              <w:jc w:val="center"/>
              <w:rPr>
                <w:rFonts w:hint="eastAsia" w:ascii="宋体" w:hAnsi="宋体"/>
                <w:sz w:val="23"/>
                <w:szCs w:val="23"/>
              </w:rPr>
            </w:pPr>
            <w:r>
              <w:rPr>
                <w:rFonts w:hint="eastAsia" w:ascii="宋体" w:hAnsi="宋体"/>
                <w:sz w:val="23"/>
                <w:szCs w:val="23"/>
              </w:rPr>
              <w:t>1</w:t>
            </w:r>
          </w:p>
        </w:tc>
        <w:tc>
          <w:tcPr>
            <w:tcW w:w="1405" w:type="dxa"/>
            <w:tcBorders>
              <w:tl2br w:val="nil"/>
              <w:tr2bl w:val="nil"/>
            </w:tcBorders>
            <w:noWrap w:val="0"/>
            <w:vAlign w:val="center"/>
          </w:tcPr>
          <w:p w14:paraId="3FA828F6">
            <w:pPr>
              <w:jc w:val="center"/>
              <w:rPr>
                <w:rFonts w:hint="eastAsia" w:ascii="宋体" w:hAnsi="宋体"/>
                <w:sz w:val="23"/>
                <w:szCs w:val="23"/>
              </w:rPr>
            </w:pPr>
            <w:r>
              <w:rPr>
                <w:rFonts w:hint="eastAsia" w:ascii="宋体" w:hAnsi="宋体"/>
                <w:sz w:val="23"/>
                <w:szCs w:val="23"/>
              </w:rPr>
              <w:t>噪声治理</w:t>
            </w:r>
          </w:p>
        </w:tc>
        <w:tc>
          <w:tcPr>
            <w:tcW w:w="4037" w:type="dxa"/>
            <w:tcBorders>
              <w:tl2br w:val="nil"/>
              <w:tr2bl w:val="nil"/>
            </w:tcBorders>
            <w:noWrap w:val="0"/>
            <w:vAlign w:val="center"/>
          </w:tcPr>
          <w:p w14:paraId="57B11866">
            <w:pPr>
              <w:jc w:val="center"/>
              <w:rPr>
                <w:rFonts w:hint="eastAsia" w:ascii="宋体" w:hAnsi="宋体"/>
                <w:sz w:val="23"/>
                <w:szCs w:val="23"/>
              </w:rPr>
            </w:pPr>
            <w:r>
              <w:rPr>
                <w:rFonts w:hint="eastAsia" w:ascii="宋体" w:hAnsi="宋体"/>
                <w:sz w:val="23"/>
                <w:szCs w:val="23"/>
              </w:rPr>
              <w:t>隔声降噪设施（如减震垫等）</w:t>
            </w:r>
          </w:p>
        </w:tc>
        <w:tc>
          <w:tcPr>
            <w:tcW w:w="1648" w:type="dxa"/>
            <w:tcBorders>
              <w:tl2br w:val="nil"/>
              <w:tr2bl w:val="nil"/>
            </w:tcBorders>
            <w:noWrap w:val="0"/>
            <w:vAlign w:val="center"/>
          </w:tcPr>
          <w:p w14:paraId="411BF75D">
            <w:pPr>
              <w:jc w:val="center"/>
              <w:rPr>
                <w:rFonts w:hint="default" w:ascii="宋体" w:hAnsi="宋体" w:eastAsia="宋体"/>
                <w:sz w:val="23"/>
                <w:szCs w:val="23"/>
                <w:lang w:val="en-US" w:eastAsia="zh-CN"/>
              </w:rPr>
            </w:pPr>
            <w:r>
              <w:rPr>
                <w:rFonts w:hint="eastAsia" w:ascii="宋体" w:hAnsi="宋体"/>
                <w:sz w:val="23"/>
                <w:szCs w:val="23"/>
                <w:lang w:val="en-US" w:eastAsia="zh-CN"/>
              </w:rPr>
              <w:t>0.5</w:t>
            </w:r>
          </w:p>
        </w:tc>
      </w:tr>
      <w:tr w14:paraId="5C672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tl2br w:val="nil"/>
              <w:tr2bl w:val="nil"/>
            </w:tcBorders>
            <w:noWrap w:val="0"/>
            <w:vAlign w:val="center"/>
          </w:tcPr>
          <w:p w14:paraId="1431386D">
            <w:pPr>
              <w:jc w:val="center"/>
              <w:rPr>
                <w:rFonts w:hint="eastAsia" w:ascii="宋体" w:hAnsi="宋体"/>
                <w:sz w:val="23"/>
                <w:szCs w:val="23"/>
              </w:rPr>
            </w:pPr>
            <w:r>
              <w:rPr>
                <w:rFonts w:hint="eastAsia" w:ascii="宋体" w:hAnsi="宋体"/>
                <w:sz w:val="23"/>
                <w:szCs w:val="23"/>
              </w:rPr>
              <w:t>2</w:t>
            </w:r>
          </w:p>
        </w:tc>
        <w:tc>
          <w:tcPr>
            <w:tcW w:w="1405" w:type="dxa"/>
            <w:tcBorders>
              <w:tl2br w:val="nil"/>
              <w:tr2bl w:val="nil"/>
            </w:tcBorders>
            <w:noWrap w:val="0"/>
            <w:vAlign w:val="center"/>
          </w:tcPr>
          <w:p w14:paraId="680CAF1E">
            <w:pPr>
              <w:jc w:val="center"/>
              <w:rPr>
                <w:rFonts w:hint="eastAsia" w:ascii="宋体" w:hAnsi="宋体"/>
                <w:sz w:val="23"/>
                <w:szCs w:val="23"/>
              </w:rPr>
            </w:pPr>
            <w:r>
              <w:rPr>
                <w:rFonts w:hint="eastAsia" w:ascii="宋体" w:hAnsi="宋体"/>
                <w:sz w:val="23"/>
                <w:szCs w:val="23"/>
              </w:rPr>
              <w:t>废气治理</w:t>
            </w:r>
          </w:p>
        </w:tc>
        <w:tc>
          <w:tcPr>
            <w:tcW w:w="4037" w:type="dxa"/>
            <w:tcBorders>
              <w:tl2br w:val="nil"/>
              <w:tr2bl w:val="nil"/>
            </w:tcBorders>
            <w:noWrap w:val="0"/>
            <w:vAlign w:val="center"/>
          </w:tcPr>
          <w:p w14:paraId="784A1728">
            <w:pPr>
              <w:jc w:val="center"/>
              <w:rPr>
                <w:rFonts w:hint="default" w:ascii="宋体" w:hAnsi="宋体" w:eastAsia="宋体"/>
                <w:sz w:val="23"/>
                <w:szCs w:val="23"/>
                <w:lang w:val="en-US" w:eastAsia="zh-CN"/>
              </w:rPr>
            </w:pPr>
            <w:r>
              <w:rPr>
                <w:rFonts w:hint="eastAsia" w:ascii="宋体" w:hAnsi="宋体"/>
                <w:sz w:val="23"/>
                <w:szCs w:val="23"/>
                <w:lang w:val="en-US" w:eastAsia="zh-CN"/>
              </w:rPr>
              <w:t>集气罩、活性炭处理装置</w:t>
            </w:r>
          </w:p>
        </w:tc>
        <w:tc>
          <w:tcPr>
            <w:tcW w:w="1648" w:type="dxa"/>
            <w:tcBorders>
              <w:tl2br w:val="nil"/>
              <w:tr2bl w:val="nil"/>
            </w:tcBorders>
            <w:noWrap w:val="0"/>
            <w:vAlign w:val="center"/>
          </w:tcPr>
          <w:p w14:paraId="28AC93D7">
            <w:pPr>
              <w:jc w:val="center"/>
              <w:rPr>
                <w:rFonts w:hint="default" w:ascii="宋体" w:hAnsi="宋体" w:eastAsia="宋体"/>
                <w:sz w:val="23"/>
                <w:szCs w:val="23"/>
                <w:lang w:val="en-US" w:eastAsia="zh-CN"/>
              </w:rPr>
            </w:pPr>
            <w:r>
              <w:rPr>
                <w:rFonts w:hint="eastAsia" w:ascii="宋体" w:hAnsi="宋体"/>
                <w:sz w:val="23"/>
                <w:szCs w:val="23"/>
                <w:lang w:val="en-US" w:eastAsia="zh-CN"/>
              </w:rPr>
              <w:t>5.5</w:t>
            </w:r>
          </w:p>
        </w:tc>
      </w:tr>
      <w:tr w14:paraId="0DFA2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tl2br w:val="nil"/>
              <w:tr2bl w:val="nil"/>
            </w:tcBorders>
            <w:noWrap w:val="0"/>
            <w:vAlign w:val="center"/>
          </w:tcPr>
          <w:p w14:paraId="3971ED82">
            <w:pPr>
              <w:jc w:val="center"/>
              <w:rPr>
                <w:rFonts w:hint="eastAsia" w:ascii="宋体" w:hAnsi="宋体"/>
                <w:sz w:val="23"/>
                <w:szCs w:val="23"/>
              </w:rPr>
            </w:pPr>
            <w:r>
              <w:rPr>
                <w:rFonts w:hint="eastAsia" w:ascii="宋体" w:hAnsi="宋体"/>
                <w:sz w:val="23"/>
                <w:szCs w:val="23"/>
              </w:rPr>
              <w:t>3</w:t>
            </w:r>
          </w:p>
        </w:tc>
        <w:tc>
          <w:tcPr>
            <w:tcW w:w="1405" w:type="dxa"/>
            <w:tcBorders>
              <w:tl2br w:val="nil"/>
              <w:tr2bl w:val="nil"/>
            </w:tcBorders>
            <w:noWrap w:val="0"/>
            <w:vAlign w:val="center"/>
          </w:tcPr>
          <w:p w14:paraId="72C518B4">
            <w:pPr>
              <w:jc w:val="center"/>
              <w:rPr>
                <w:rFonts w:hint="eastAsia" w:ascii="宋体" w:hAnsi="宋体"/>
                <w:sz w:val="23"/>
                <w:szCs w:val="23"/>
              </w:rPr>
            </w:pPr>
            <w:r>
              <w:rPr>
                <w:rFonts w:hint="eastAsia" w:ascii="宋体" w:hAnsi="宋体"/>
                <w:sz w:val="23"/>
                <w:szCs w:val="23"/>
              </w:rPr>
              <w:t>废水治理</w:t>
            </w:r>
          </w:p>
        </w:tc>
        <w:tc>
          <w:tcPr>
            <w:tcW w:w="4037" w:type="dxa"/>
            <w:tcBorders>
              <w:tl2br w:val="nil"/>
              <w:tr2bl w:val="nil"/>
            </w:tcBorders>
            <w:noWrap w:val="0"/>
            <w:vAlign w:val="center"/>
          </w:tcPr>
          <w:p w14:paraId="01A33E8D">
            <w:pPr>
              <w:jc w:val="center"/>
              <w:rPr>
                <w:rFonts w:hint="default" w:ascii="宋体" w:hAnsi="宋体" w:eastAsia="宋体"/>
                <w:sz w:val="23"/>
                <w:szCs w:val="23"/>
                <w:lang w:val="en-US" w:eastAsia="zh-CN"/>
              </w:rPr>
            </w:pPr>
            <w:r>
              <w:rPr>
                <w:rFonts w:hint="eastAsia" w:ascii="宋体" w:hAnsi="宋体"/>
                <w:sz w:val="23"/>
                <w:szCs w:val="23"/>
                <w:lang w:val="en-US" w:eastAsia="zh-CN"/>
              </w:rPr>
              <w:t>污水处理费</w:t>
            </w:r>
          </w:p>
        </w:tc>
        <w:tc>
          <w:tcPr>
            <w:tcW w:w="1648" w:type="dxa"/>
            <w:tcBorders>
              <w:tl2br w:val="nil"/>
              <w:tr2bl w:val="nil"/>
            </w:tcBorders>
            <w:noWrap w:val="0"/>
            <w:vAlign w:val="center"/>
          </w:tcPr>
          <w:p w14:paraId="09C8CBE3">
            <w:pPr>
              <w:jc w:val="center"/>
              <w:rPr>
                <w:rFonts w:hint="default" w:ascii="宋体" w:hAnsi="宋体" w:eastAsia="宋体"/>
                <w:sz w:val="23"/>
                <w:szCs w:val="23"/>
                <w:lang w:val="en-US" w:eastAsia="zh-CN"/>
              </w:rPr>
            </w:pPr>
            <w:r>
              <w:rPr>
                <w:rFonts w:hint="eastAsia" w:ascii="宋体" w:hAnsi="宋体"/>
                <w:sz w:val="23"/>
                <w:szCs w:val="23"/>
                <w:lang w:val="en-US" w:eastAsia="zh-CN"/>
              </w:rPr>
              <w:t>0.8</w:t>
            </w:r>
          </w:p>
        </w:tc>
      </w:tr>
      <w:tr w14:paraId="04303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702" w:type="dxa"/>
            <w:tcBorders>
              <w:tl2br w:val="nil"/>
              <w:tr2bl w:val="nil"/>
            </w:tcBorders>
            <w:noWrap w:val="0"/>
            <w:vAlign w:val="center"/>
          </w:tcPr>
          <w:p w14:paraId="048D75B1">
            <w:pPr>
              <w:jc w:val="center"/>
              <w:rPr>
                <w:rFonts w:hint="eastAsia" w:ascii="宋体" w:hAnsi="宋体"/>
                <w:sz w:val="23"/>
                <w:szCs w:val="23"/>
              </w:rPr>
            </w:pPr>
            <w:r>
              <w:rPr>
                <w:rFonts w:hint="eastAsia" w:ascii="宋体" w:hAnsi="宋体"/>
                <w:sz w:val="23"/>
                <w:szCs w:val="23"/>
              </w:rPr>
              <w:t>4</w:t>
            </w:r>
          </w:p>
        </w:tc>
        <w:tc>
          <w:tcPr>
            <w:tcW w:w="1405" w:type="dxa"/>
            <w:tcBorders>
              <w:tl2br w:val="nil"/>
              <w:tr2bl w:val="nil"/>
            </w:tcBorders>
            <w:noWrap w:val="0"/>
            <w:vAlign w:val="center"/>
          </w:tcPr>
          <w:p w14:paraId="6BBA8D23">
            <w:pPr>
              <w:jc w:val="center"/>
              <w:rPr>
                <w:rFonts w:hint="eastAsia" w:ascii="宋体" w:hAnsi="宋体"/>
                <w:sz w:val="23"/>
                <w:szCs w:val="23"/>
              </w:rPr>
            </w:pPr>
            <w:r>
              <w:rPr>
                <w:rFonts w:hint="eastAsia" w:ascii="宋体" w:hAnsi="宋体"/>
                <w:sz w:val="23"/>
                <w:szCs w:val="23"/>
              </w:rPr>
              <w:t>固废治理</w:t>
            </w:r>
          </w:p>
        </w:tc>
        <w:tc>
          <w:tcPr>
            <w:tcW w:w="4037" w:type="dxa"/>
            <w:tcBorders>
              <w:tl2br w:val="nil"/>
              <w:tr2bl w:val="nil"/>
            </w:tcBorders>
            <w:noWrap w:val="0"/>
            <w:vAlign w:val="center"/>
          </w:tcPr>
          <w:p w14:paraId="53F5933A">
            <w:pPr>
              <w:jc w:val="center"/>
              <w:rPr>
                <w:rFonts w:hint="eastAsia" w:ascii="宋体" w:hAnsi="宋体"/>
                <w:sz w:val="23"/>
                <w:szCs w:val="23"/>
              </w:rPr>
            </w:pPr>
            <w:r>
              <w:rPr>
                <w:rFonts w:hint="eastAsia" w:ascii="宋体" w:hAnsi="宋体"/>
                <w:sz w:val="23"/>
                <w:szCs w:val="23"/>
              </w:rPr>
              <w:t>固废收集、委托处理等</w:t>
            </w:r>
          </w:p>
        </w:tc>
        <w:tc>
          <w:tcPr>
            <w:tcW w:w="1648" w:type="dxa"/>
            <w:tcBorders>
              <w:tl2br w:val="nil"/>
              <w:tr2bl w:val="nil"/>
            </w:tcBorders>
            <w:noWrap w:val="0"/>
            <w:vAlign w:val="center"/>
          </w:tcPr>
          <w:p w14:paraId="54F7081C">
            <w:pPr>
              <w:jc w:val="center"/>
              <w:rPr>
                <w:rFonts w:hint="default" w:ascii="宋体" w:hAnsi="宋体" w:eastAsia="宋体"/>
                <w:sz w:val="23"/>
                <w:szCs w:val="23"/>
                <w:lang w:val="en-US" w:eastAsia="zh-CN"/>
              </w:rPr>
            </w:pPr>
            <w:r>
              <w:rPr>
                <w:rFonts w:hint="eastAsia" w:ascii="宋体" w:hAnsi="宋体"/>
                <w:sz w:val="23"/>
                <w:szCs w:val="23"/>
                <w:lang w:val="en-US" w:eastAsia="zh-CN"/>
              </w:rPr>
              <w:t>1.5</w:t>
            </w:r>
          </w:p>
        </w:tc>
      </w:tr>
      <w:tr w14:paraId="5F190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702" w:type="dxa"/>
            <w:tcBorders>
              <w:tl2br w:val="nil"/>
              <w:tr2bl w:val="nil"/>
            </w:tcBorders>
            <w:noWrap w:val="0"/>
            <w:vAlign w:val="center"/>
          </w:tcPr>
          <w:p w14:paraId="5F24198D">
            <w:pPr>
              <w:jc w:val="center"/>
              <w:rPr>
                <w:rFonts w:hint="eastAsia" w:ascii="宋体" w:hAnsi="宋体"/>
                <w:sz w:val="23"/>
                <w:szCs w:val="23"/>
              </w:rPr>
            </w:pPr>
          </w:p>
        </w:tc>
        <w:tc>
          <w:tcPr>
            <w:tcW w:w="1405" w:type="dxa"/>
            <w:tcBorders>
              <w:tl2br w:val="nil"/>
              <w:tr2bl w:val="nil"/>
            </w:tcBorders>
            <w:noWrap w:val="0"/>
            <w:vAlign w:val="center"/>
          </w:tcPr>
          <w:p w14:paraId="5CB11819">
            <w:pPr>
              <w:jc w:val="center"/>
              <w:rPr>
                <w:rFonts w:hint="eastAsia" w:ascii="宋体" w:hAnsi="宋体"/>
                <w:sz w:val="23"/>
                <w:szCs w:val="23"/>
              </w:rPr>
            </w:pPr>
            <w:r>
              <w:rPr>
                <w:rFonts w:hint="eastAsia" w:ascii="宋体" w:hAnsi="宋体"/>
                <w:sz w:val="23"/>
                <w:szCs w:val="23"/>
              </w:rPr>
              <w:t>总计</w:t>
            </w:r>
          </w:p>
        </w:tc>
        <w:tc>
          <w:tcPr>
            <w:tcW w:w="4037" w:type="dxa"/>
            <w:tcBorders>
              <w:tl2br w:val="nil"/>
              <w:tr2bl w:val="nil"/>
            </w:tcBorders>
            <w:noWrap w:val="0"/>
            <w:vAlign w:val="center"/>
          </w:tcPr>
          <w:p w14:paraId="59320F27">
            <w:pPr>
              <w:jc w:val="center"/>
              <w:rPr>
                <w:rFonts w:hint="eastAsia" w:ascii="宋体" w:hAnsi="宋体"/>
                <w:sz w:val="23"/>
                <w:szCs w:val="23"/>
              </w:rPr>
            </w:pPr>
            <w:r>
              <w:rPr>
                <w:rFonts w:hint="eastAsia" w:ascii="宋体" w:hAnsi="宋体"/>
                <w:sz w:val="23"/>
                <w:szCs w:val="23"/>
              </w:rPr>
              <w:t>/</w:t>
            </w:r>
          </w:p>
        </w:tc>
        <w:tc>
          <w:tcPr>
            <w:tcW w:w="1648" w:type="dxa"/>
            <w:tcBorders>
              <w:tl2br w:val="nil"/>
              <w:tr2bl w:val="nil"/>
            </w:tcBorders>
            <w:noWrap w:val="0"/>
            <w:vAlign w:val="center"/>
          </w:tcPr>
          <w:p w14:paraId="2578C139">
            <w:pPr>
              <w:jc w:val="center"/>
              <w:rPr>
                <w:rFonts w:hint="default" w:ascii="宋体" w:hAnsi="宋体" w:eastAsia="宋体"/>
                <w:sz w:val="23"/>
                <w:szCs w:val="23"/>
                <w:lang w:val="en-US" w:eastAsia="zh-CN"/>
              </w:rPr>
            </w:pPr>
            <w:r>
              <w:rPr>
                <w:rFonts w:hint="eastAsia" w:ascii="宋体" w:hAnsi="宋体" w:eastAsia="宋体"/>
                <w:sz w:val="23"/>
                <w:szCs w:val="23"/>
                <w:lang w:val="en-US" w:eastAsia="zh-CN"/>
              </w:rPr>
              <w:t>8.3</w:t>
            </w:r>
          </w:p>
        </w:tc>
      </w:tr>
    </w:tbl>
    <w:p w14:paraId="2F79AFC8">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1"/>
        <w:rPr>
          <w:rFonts w:hint="default" w:ascii="Times New Roman" w:hAnsi="Times New Roman" w:eastAsia="宋体" w:cs="Times New Roman"/>
          <w:b w:val="0"/>
          <w:bCs/>
          <w:color w:val="000000"/>
          <w:sz w:val="24"/>
          <w:szCs w:val="24"/>
          <w:lang w:val="en-US" w:eastAsia="zh-CN"/>
        </w:rPr>
      </w:pPr>
      <w:bookmarkStart w:id="165" w:name="_Toc20917"/>
      <w:bookmarkStart w:id="166" w:name="_Toc7736"/>
      <w:bookmarkStart w:id="167" w:name="_Toc23948"/>
      <w:bookmarkStart w:id="168" w:name="_Toc5514"/>
      <w:r>
        <w:rPr>
          <w:rFonts w:hint="default" w:ascii="Times New Roman" w:hAnsi="Times New Roman" w:eastAsia="宋体" w:cs="Times New Roman"/>
          <w:b w:val="0"/>
          <w:bCs/>
          <w:color w:val="000000"/>
          <w:sz w:val="24"/>
          <w:szCs w:val="24"/>
          <w:lang w:val="en-US" w:eastAsia="zh-CN"/>
        </w:rPr>
        <w:t>4.3环评批复意见落实情况表</w:t>
      </w:r>
      <w:bookmarkEnd w:id="165"/>
      <w:bookmarkEnd w:id="166"/>
      <w:bookmarkEnd w:id="167"/>
      <w:bookmarkEnd w:id="168"/>
    </w:p>
    <w:p w14:paraId="7A900ECB">
      <w:pPr>
        <w:pStyle w:val="2"/>
        <w:ind w:left="0" w:lef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表4-</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val="en-US" w:eastAsia="zh-CN"/>
        </w:rPr>
        <w:t>环评批复意见落实表</w:t>
      </w:r>
    </w:p>
    <w:tbl>
      <w:tblPr>
        <w:tblStyle w:val="14"/>
        <w:tblW w:w="8380"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87"/>
        <w:gridCol w:w="3410"/>
        <w:gridCol w:w="3883"/>
      </w:tblGrid>
      <w:tr w14:paraId="319604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087" w:type="dxa"/>
            <w:tcBorders>
              <w:tl2br w:val="nil"/>
              <w:tr2bl w:val="nil"/>
            </w:tcBorders>
            <w:vAlign w:val="center"/>
          </w:tcPr>
          <w:p w14:paraId="7153420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w:t>
            </w:r>
          </w:p>
        </w:tc>
        <w:tc>
          <w:tcPr>
            <w:tcW w:w="3410" w:type="dxa"/>
            <w:tcBorders>
              <w:tl2br w:val="nil"/>
              <w:tr2bl w:val="nil"/>
            </w:tcBorders>
            <w:vAlign w:val="center"/>
          </w:tcPr>
          <w:p w14:paraId="2C4E43F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环评批复要求</w:t>
            </w:r>
          </w:p>
        </w:tc>
        <w:tc>
          <w:tcPr>
            <w:tcW w:w="3883" w:type="dxa"/>
            <w:tcBorders>
              <w:tl2br w:val="nil"/>
              <w:tr2bl w:val="nil"/>
            </w:tcBorders>
            <w:vAlign w:val="center"/>
          </w:tcPr>
          <w:p w14:paraId="68FB755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实际落实情况</w:t>
            </w:r>
          </w:p>
        </w:tc>
      </w:tr>
      <w:tr w14:paraId="3C90FF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57" w:hRule="atLeast"/>
        </w:trPr>
        <w:tc>
          <w:tcPr>
            <w:tcW w:w="1087" w:type="dxa"/>
            <w:tcBorders>
              <w:tl2br w:val="nil"/>
              <w:tr2bl w:val="nil"/>
            </w:tcBorders>
            <w:vAlign w:val="center"/>
          </w:tcPr>
          <w:p w14:paraId="72C72EC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项目选址及建设内容</w:t>
            </w:r>
          </w:p>
        </w:tc>
        <w:tc>
          <w:tcPr>
            <w:tcW w:w="3410" w:type="dxa"/>
            <w:tcBorders>
              <w:tl2br w:val="nil"/>
              <w:tr2bl w:val="nil"/>
            </w:tcBorders>
            <w:vAlign w:val="center"/>
          </w:tcPr>
          <w:p w14:paraId="6E0A7AF1">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r>
              <w:rPr>
                <w:rFonts w:hint="eastAsia" w:ascii="Times New Roman" w:hAnsi="Times New Roman" w:eastAsia="宋体" w:cs="Times New Roman"/>
                <w:sz w:val="21"/>
                <w:szCs w:val="21"/>
                <w:lang w:val="en-US" w:eastAsia="zh-CN"/>
              </w:rPr>
              <w:t>产能：年产500万只塑料袋</w:t>
            </w:r>
          </w:p>
          <w:p w14:paraId="761ACBF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2、地址：杭州市</w:t>
            </w:r>
            <w:r>
              <w:rPr>
                <w:rFonts w:hint="eastAsia" w:ascii="Times New Roman" w:hAnsi="Times New Roman" w:eastAsia="宋体" w:cs="Times New Roman"/>
                <w:sz w:val="21"/>
                <w:szCs w:val="21"/>
                <w:lang w:val="en-US" w:eastAsia="zh-CN"/>
              </w:rPr>
              <w:t>萧山区新塘街道联华新村</w:t>
            </w:r>
          </w:p>
        </w:tc>
        <w:tc>
          <w:tcPr>
            <w:tcW w:w="3883" w:type="dxa"/>
            <w:tcBorders>
              <w:tl2br w:val="nil"/>
              <w:tr2bl w:val="nil"/>
            </w:tcBorders>
            <w:vAlign w:val="center"/>
          </w:tcPr>
          <w:p w14:paraId="47378183">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产能：年产300万只塑料袋</w:t>
            </w:r>
          </w:p>
          <w:p w14:paraId="28FE95FA">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ind w:left="0" w:leftChars="0" w:right="0" w:rightChars="0" w:firstLine="0" w:firstLineChars="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地址：杭州市萧山区新塘街道联华新村</w:t>
            </w:r>
          </w:p>
          <w:p w14:paraId="71BD4E19">
            <w:pPr>
              <w:spacing w:line="360" w:lineRule="auto"/>
              <w:rPr>
                <w:rFonts w:hint="default"/>
                <w:sz w:val="21"/>
                <w:szCs w:val="21"/>
                <w:lang w:val="en-US" w:eastAsia="zh-CN"/>
              </w:rPr>
            </w:pPr>
            <w:r>
              <w:rPr>
                <w:rFonts w:hint="eastAsia"/>
                <w:sz w:val="21"/>
                <w:szCs w:val="21"/>
                <w:lang w:val="en-US" w:eastAsia="zh-CN"/>
              </w:rPr>
              <w:t>3、与原审批相比，目前吹膜机少3台，本次为阶段性验收。</w:t>
            </w:r>
          </w:p>
        </w:tc>
      </w:tr>
      <w:tr w14:paraId="6F8175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78" w:hRule="atLeast"/>
        </w:trPr>
        <w:tc>
          <w:tcPr>
            <w:tcW w:w="1087" w:type="dxa"/>
            <w:tcBorders>
              <w:tl2br w:val="nil"/>
              <w:tr2bl w:val="nil"/>
            </w:tcBorders>
            <w:vAlign w:val="center"/>
          </w:tcPr>
          <w:p w14:paraId="7AED277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废水</w:t>
            </w:r>
          </w:p>
        </w:tc>
        <w:tc>
          <w:tcPr>
            <w:tcW w:w="3410" w:type="dxa"/>
            <w:tcBorders>
              <w:tl2br w:val="nil"/>
              <w:tr2bl w:val="nil"/>
            </w:tcBorders>
            <w:vAlign w:val="center"/>
          </w:tcPr>
          <w:p w14:paraId="366C07C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r>
              <w:rPr>
                <w:rFonts w:hint="eastAsia"/>
                <w:sz w:val="21"/>
                <w:szCs w:val="21"/>
                <w:lang w:val="zh-CN" w:eastAsia="zh-CN"/>
              </w:rPr>
              <w:t>实行雨污分流、清污分流。生活污水必须经处理达到《污水综合排放标准》(GB8978-1996)三级标准后纳入城市污水管网，其中氨氮执行《工业企业废水氮、磷污染物间接排放限值》(DB33/887-2013)中的其他企业排放限值要求。</w:t>
            </w:r>
          </w:p>
        </w:tc>
        <w:tc>
          <w:tcPr>
            <w:tcW w:w="3883" w:type="dxa"/>
            <w:tcBorders>
              <w:tl2br w:val="nil"/>
              <w:tr2bl w:val="nil"/>
            </w:tcBorders>
            <w:vAlign w:val="center"/>
          </w:tcPr>
          <w:p w14:paraId="556A8DA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r>
              <w:rPr>
                <w:rFonts w:hint="default"/>
                <w:sz w:val="21"/>
                <w:szCs w:val="21"/>
                <w:lang w:val="en-US" w:eastAsia="zh-CN"/>
              </w:rPr>
              <w:t>符合：</w:t>
            </w:r>
          </w:p>
          <w:p w14:paraId="19A52F5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r>
              <w:rPr>
                <w:rFonts w:hint="eastAsia" w:ascii="Times New Roman" w:hAnsi="Times New Roman" w:eastAsia="宋体" w:cs="Times New Roman"/>
                <w:bCs/>
                <w:color w:val="auto"/>
                <w:sz w:val="21"/>
                <w:szCs w:val="21"/>
                <w:lang w:val="en-US" w:eastAsia="zh-CN"/>
              </w:rPr>
              <w:t>实行雨污分流，雨水进入雨水管网；企业厂区内不单独设置厕所、化粪池，员工使用村集中公共卫生间，由村委集中统一清运。</w:t>
            </w:r>
          </w:p>
        </w:tc>
      </w:tr>
      <w:tr w14:paraId="3A58FC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79" w:hRule="atLeast"/>
        </w:trPr>
        <w:tc>
          <w:tcPr>
            <w:tcW w:w="1087" w:type="dxa"/>
            <w:tcBorders>
              <w:tl2br w:val="nil"/>
              <w:tr2bl w:val="nil"/>
            </w:tcBorders>
            <w:vAlign w:val="center"/>
          </w:tcPr>
          <w:p w14:paraId="332BBE3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3410" w:type="dxa"/>
            <w:tcBorders>
              <w:tl2br w:val="nil"/>
              <w:tr2bl w:val="nil"/>
            </w:tcBorders>
            <w:vAlign w:val="center"/>
          </w:tcPr>
          <w:p w14:paraId="659FF34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工艺废气(印刷废气、吹膜废气、制袋废气等)必须配备处理设施，经收集处理后达到《印刷工业大气污染物排放标准》(GB41616-2022)、《合成树脂工业污染物排放标准》(GB31572-2015)中相应标准后高空排放;臭气浓度执行《恶臭污染物排放标准》(GB14554-93)中的相应标准;厂区内V0Cs无组织排放执行《挥发性有机物无组织排放控制标准》(GB37822-2019)中特别排放限值。</w:t>
            </w:r>
          </w:p>
        </w:tc>
        <w:tc>
          <w:tcPr>
            <w:tcW w:w="3883" w:type="dxa"/>
            <w:tcBorders>
              <w:tl2br w:val="nil"/>
              <w:tr2bl w:val="nil"/>
            </w:tcBorders>
            <w:vAlign w:val="center"/>
          </w:tcPr>
          <w:p w14:paraId="084DF5A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企业在废气产生工段安装有收集装置，收集后经活性炭吸附装置处理后15m高空排放。经检测达标排放。</w:t>
            </w:r>
          </w:p>
        </w:tc>
      </w:tr>
      <w:tr w14:paraId="6A7EDF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15" w:hRule="atLeast"/>
        </w:trPr>
        <w:tc>
          <w:tcPr>
            <w:tcW w:w="1087" w:type="dxa"/>
            <w:tcBorders>
              <w:tl2br w:val="nil"/>
              <w:tr2bl w:val="nil"/>
            </w:tcBorders>
            <w:vAlign w:val="center"/>
          </w:tcPr>
          <w:p w14:paraId="5CB75B1F">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噪声</w:t>
            </w:r>
          </w:p>
        </w:tc>
        <w:tc>
          <w:tcPr>
            <w:tcW w:w="3410" w:type="dxa"/>
            <w:tcBorders>
              <w:tl2br w:val="nil"/>
              <w:tr2bl w:val="nil"/>
            </w:tcBorders>
            <w:vAlign w:val="center"/>
          </w:tcPr>
          <w:p w14:paraId="0FD6B42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r>
              <w:rPr>
                <w:rFonts w:hint="eastAsia"/>
                <w:sz w:val="21"/>
                <w:szCs w:val="21"/>
                <w:lang w:val="en-US" w:eastAsia="zh-CN"/>
              </w:rPr>
              <w:t>合理布局，采取隔声降噪措施，确保厂界噪声达到《工业企业厂界环境噪声排放标准》(GB12348-2008)中2类标准。</w:t>
            </w:r>
          </w:p>
        </w:tc>
        <w:tc>
          <w:tcPr>
            <w:tcW w:w="3883" w:type="dxa"/>
            <w:tcBorders>
              <w:tl2br w:val="nil"/>
              <w:tr2bl w:val="nil"/>
            </w:tcBorders>
            <w:vAlign w:val="center"/>
          </w:tcPr>
          <w:p w14:paraId="244C52A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r>
              <w:rPr>
                <w:rFonts w:hint="default"/>
                <w:sz w:val="21"/>
                <w:szCs w:val="21"/>
                <w:lang w:val="en-US" w:eastAsia="zh-CN"/>
              </w:rPr>
              <w:t>符合：</w:t>
            </w:r>
          </w:p>
          <w:p w14:paraId="743A9D92">
            <w:pPr>
              <w:numPr>
                <w:ilvl w:val="0"/>
                <w:numId w:val="0"/>
              </w:numPr>
              <w:snapToGrid w:val="0"/>
              <w:spacing w:line="360" w:lineRule="auto"/>
              <w:ind w:firstLine="0" w:firstLineChars="0"/>
              <w:jc w:val="left"/>
              <w:outlineLvl w:val="9"/>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①对设备进行定期检修，保持设备良好的运转状态，对各连接部位安装弹性钢垫或橡胶衬垫，以减少传动装置间的振动；</w:t>
            </w:r>
          </w:p>
          <w:p w14:paraId="4B5545BE">
            <w:pPr>
              <w:numPr>
                <w:ilvl w:val="0"/>
                <w:numId w:val="0"/>
              </w:numPr>
              <w:snapToGrid w:val="0"/>
              <w:spacing w:line="360" w:lineRule="auto"/>
              <w:ind w:firstLine="0" w:firstLineChars="0"/>
              <w:jc w:val="left"/>
              <w:outlineLvl w:val="9"/>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②在满足生产要求的前提下尽量选用优质、低噪、安全可靠、自动化程度较高的设备；</w:t>
            </w:r>
          </w:p>
          <w:p w14:paraId="2A681A22">
            <w:pPr>
              <w:numPr>
                <w:ilvl w:val="0"/>
                <w:numId w:val="0"/>
              </w:numPr>
              <w:snapToGrid w:val="0"/>
              <w:spacing w:line="360" w:lineRule="auto"/>
              <w:ind w:firstLine="0" w:firstLineChars="0"/>
              <w:jc w:val="left"/>
              <w:outlineLvl w:val="9"/>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③合理布局，高噪声设备单独设置隔声车间，并尽量远离厂界布置；</w:t>
            </w:r>
          </w:p>
          <w:p w14:paraId="28E1CAE5">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rPr>
              <w:t>④生产期间要做到门窗紧闭，使噪声受到最大程度的隔绝和吸收</w:t>
            </w:r>
            <w:r>
              <w:rPr>
                <w:rFonts w:hint="eastAsia" w:ascii="Times New Roman" w:hAnsi="Times New Roman" w:eastAsia="宋体" w:cs="Times New Roman"/>
                <w:bCs/>
                <w:color w:val="auto"/>
                <w:sz w:val="21"/>
                <w:szCs w:val="21"/>
                <w:lang w:val="en-US" w:eastAsia="zh-CN"/>
              </w:rPr>
              <w:t>。</w:t>
            </w:r>
          </w:p>
          <w:p w14:paraId="7090B2C2">
            <w:pPr>
              <w:numPr>
                <w:ilvl w:val="0"/>
                <w:numId w:val="0"/>
              </w:numPr>
              <w:snapToGrid w:val="0"/>
              <w:spacing w:line="360" w:lineRule="auto"/>
              <w:ind w:firstLine="0" w:firstLineChars="0"/>
              <w:jc w:val="left"/>
              <w:outlineLvl w:val="9"/>
              <w:rPr>
                <w:rFonts w:hint="default"/>
                <w:sz w:val="21"/>
                <w:szCs w:val="21"/>
                <w:lang w:val="en-US" w:eastAsia="zh-CN"/>
              </w:rPr>
            </w:pPr>
            <w:r>
              <w:rPr>
                <w:rFonts w:hint="eastAsia" w:ascii="Times New Roman" w:hAnsi="Times New Roman" w:eastAsia="宋体" w:cs="Times New Roman"/>
                <w:bCs/>
                <w:color w:val="auto"/>
                <w:sz w:val="21"/>
                <w:szCs w:val="21"/>
                <w:lang w:val="en-US" w:eastAsia="zh-CN"/>
              </w:rPr>
              <w:t>经检测，达标排放。</w:t>
            </w:r>
          </w:p>
        </w:tc>
      </w:tr>
      <w:tr w14:paraId="6E5CDE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1" w:hRule="atLeast"/>
        </w:trPr>
        <w:tc>
          <w:tcPr>
            <w:tcW w:w="1087" w:type="dxa"/>
            <w:tcBorders>
              <w:tl2br w:val="nil"/>
              <w:tr2bl w:val="nil"/>
            </w:tcBorders>
            <w:vAlign w:val="center"/>
          </w:tcPr>
          <w:p w14:paraId="7D67A3E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固废</w:t>
            </w:r>
          </w:p>
        </w:tc>
        <w:tc>
          <w:tcPr>
            <w:tcW w:w="3410" w:type="dxa"/>
            <w:tcBorders>
              <w:tl2br w:val="nil"/>
              <w:tr2bl w:val="nil"/>
            </w:tcBorders>
            <w:vAlign w:val="center"/>
          </w:tcPr>
          <w:p w14:paraId="76A466E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eastAsia"/>
                <w:sz w:val="21"/>
                <w:szCs w:val="21"/>
                <w:lang w:val="en-US" w:eastAsia="zh-CN"/>
              </w:rPr>
            </w:pPr>
            <w:r>
              <w:rPr>
                <w:rFonts w:hint="eastAsia"/>
                <w:sz w:val="21"/>
                <w:szCs w:val="21"/>
                <w:lang w:val="zh-CN" w:eastAsia="zh-CN"/>
              </w:rPr>
              <w:t>固体废弃物必须分类妥善处置，危险废物集中收集后送有资质单位处置，禁止随意丢弃或焚烧，不得产生二次污染。</w:t>
            </w:r>
          </w:p>
        </w:tc>
        <w:tc>
          <w:tcPr>
            <w:tcW w:w="3883" w:type="dxa"/>
            <w:tcBorders>
              <w:tl2br w:val="nil"/>
              <w:tr2bl w:val="nil"/>
            </w:tcBorders>
            <w:vAlign w:val="center"/>
          </w:tcPr>
          <w:p w14:paraId="38879960">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eastAsia"/>
                <w:sz w:val="21"/>
                <w:szCs w:val="21"/>
                <w:lang w:val="en-US" w:eastAsia="zh-CN"/>
              </w:rPr>
            </w:pPr>
            <w:r>
              <w:rPr>
                <w:rFonts w:hint="eastAsia" w:ascii="Times New Roman" w:hAnsi="Times New Roman" w:eastAsia="宋体" w:cs="Times New Roman"/>
                <w:bCs/>
                <w:color w:val="auto"/>
                <w:sz w:val="21"/>
                <w:szCs w:val="21"/>
                <w:lang w:val="en-US" w:eastAsia="zh-CN"/>
              </w:rPr>
              <w:t>生活垃圾由村委统一清运后处置；次品、边角料委托一般固废处置公司安全处置；废包装桶、废油、废擦拭布、废活性炭均属于危险固废，委托有资质单位杭州沈达环境科技有限公司安全转运处置，平时存放应按照危废管理，同时做好危废仓库的防雨、防渗漏、防扬撒“三防”措施。</w:t>
            </w:r>
          </w:p>
        </w:tc>
      </w:tr>
      <w:tr w14:paraId="18015E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36" w:hRule="atLeast"/>
        </w:trPr>
        <w:tc>
          <w:tcPr>
            <w:tcW w:w="1087" w:type="dxa"/>
            <w:tcBorders>
              <w:tl2br w:val="nil"/>
              <w:tr2bl w:val="nil"/>
            </w:tcBorders>
            <w:vAlign w:val="center"/>
          </w:tcPr>
          <w:p w14:paraId="62E94BE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其它</w:t>
            </w:r>
          </w:p>
        </w:tc>
        <w:tc>
          <w:tcPr>
            <w:tcW w:w="3410" w:type="dxa"/>
            <w:tcBorders>
              <w:tl2br w:val="nil"/>
              <w:tr2bl w:val="nil"/>
            </w:tcBorders>
            <w:vAlign w:val="center"/>
          </w:tcPr>
          <w:p w14:paraId="1F6C6EA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eastAsia"/>
                <w:sz w:val="21"/>
                <w:szCs w:val="21"/>
                <w:lang w:val="zh-CN" w:eastAsia="zh-CN"/>
              </w:rPr>
            </w:pPr>
            <w:r>
              <w:rPr>
                <w:rFonts w:hint="eastAsia"/>
                <w:sz w:val="21"/>
                <w:szCs w:val="21"/>
                <w:lang w:val="zh-CN" w:eastAsia="zh-CN"/>
              </w:rPr>
              <w:t>建设项目的性质、规模、地点或者采用的生产工艺等发生重大变化的，应重新报批。</w:t>
            </w:r>
          </w:p>
        </w:tc>
        <w:tc>
          <w:tcPr>
            <w:tcW w:w="3883" w:type="dxa"/>
            <w:tcBorders>
              <w:tl2br w:val="nil"/>
              <w:tr2bl w:val="nil"/>
            </w:tcBorders>
            <w:vAlign w:val="center"/>
          </w:tcPr>
          <w:p w14:paraId="307AF7A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ascii="Times New Roman" w:hAnsi="Times New Roman" w:eastAsia="宋体" w:cs="Times New Roman"/>
                <w:bCs/>
                <w:color w:val="auto"/>
                <w:sz w:val="21"/>
                <w:szCs w:val="21"/>
                <w:lang w:val="en-US" w:eastAsia="zh-CN"/>
              </w:rPr>
            </w:pPr>
            <w:r>
              <w:rPr>
                <w:rFonts w:hint="eastAsia"/>
                <w:sz w:val="21"/>
                <w:szCs w:val="21"/>
                <w:lang w:val="zh-CN" w:eastAsia="zh-CN"/>
              </w:rPr>
              <w:t>建设项目的性质、</w:t>
            </w:r>
            <w:r>
              <w:rPr>
                <w:rFonts w:hint="eastAsia"/>
                <w:sz w:val="21"/>
                <w:szCs w:val="21"/>
                <w:lang w:val="en-US" w:eastAsia="zh-CN"/>
              </w:rPr>
              <w:t>地点、采用的生产工艺与审批一致，产能目前只有年产300万塑料袋，吹膜机少3台，本次为阶段性验收。</w:t>
            </w:r>
          </w:p>
        </w:tc>
      </w:tr>
    </w:tbl>
    <w:p w14:paraId="636BC3E9">
      <w:pPr>
        <w:pStyle w:val="8"/>
        <w:rPr>
          <w:rFonts w:hint="default" w:asciiTheme="minorHAnsi" w:hAnsiTheme="minorHAnsi" w:eastAsiaTheme="minorEastAsia" w:cstheme="minorBidi"/>
          <w:b/>
          <w:kern w:val="2"/>
          <w:sz w:val="24"/>
          <w:szCs w:val="24"/>
          <w:lang w:val="en-US" w:eastAsia="zh-CN" w:bidi="ar-SA"/>
        </w:rPr>
      </w:pPr>
    </w:p>
    <w:p w14:paraId="23A17A57">
      <w:pPr>
        <w:pStyle w:val="8"/>
        <w:rPr>
          <w:rFonts w:hint="default" w:asciiTheme="minorHAnsi" w:hAnsiTheme="minorHAnsi" w:eastAsiaTheme="minorEastAsia" w:cstheme="minorBidi"/>
          <w:b/>
          <w:kern w:val="2"/>
          <w:sz w:val="24"/>
          <w:szCs w:val="24"/>
          <w:lang w:val="en-US" w:eastAsia="zh-CN" w:bidi="ar-SA"/>
        </w:rPr>
      </w:pPr>
    </w:p>
    <w:p w14:paraId="34043643">
      <w:pPr>
        <w:pStyle w:val="8"/>
        <w:rPr>
          <w:rFonts w:hint="default" w:asciiTheme="minorHAnsi" w:hAnsiTheme="minorHAnsi" w:eastAsiaTheme="minorEastAsia" w:cstheme="minorBidi"/>
          <w:b/>
          <w:kern w:val="2"/>
          <w:sz w:val="24"/>
          <w:szCs w:val="24"/>
          <w:lang w:val="en-US" w:eastAsia="zh-CN" w:bidi="ar-SA"/>
        </w:rPr>
      </w:pPr>
    </w:p>
    <w:p w14:paraId="342F7BB5">
      <w:pPr>
        <w:pStyle w:val="4"/>
        <w:keepNext/>
        <w:keepLines/>
        <w:pageBreakBefore w:val="0"/>
        <w:widowControl w:val="0"/>
        <w:numPr>
          <w:ilvl w:val="0"/>
          <w:numId w:val="0"/>
        </w:numPr>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bookmarkStart w:id="169" w:name="_Toc25090"/>
      <w:bookmarkStart w:id="170" w:name="_Toc30284"/>
      <w:r>
        <w:rPr>
          <w:rFonts w:hint="default" w:ascii="Times New Roman" w:hAnsi="Times New Roman" w:eastAsia="宋体" w:cs="Times New Roman"/>
          <w:lang w:val="en-US" w:eastAsia="zh-CN"/>
        </w:rPr>
        <w:t>五、建设项目环评报告</w:t>
      </w:r>
      <w:r>
        <w:rPr>
          <w:rFonts w:hint="eastAsia" w:ascii="Times New Roman" w:hAnsi="Times New Roman" w:eastAsia="宋体" w:cs="Times New Roman"/>
          <w:lang w:val="en-US" w:eastAsia="zh-CN"/>
        </w:rPr>
        <w:t>表</w:t>
      </w:r>
      <w:r>
        <w:rPr>
          <w:rFonts w:hint="default" w:ascii="Times New Roman" w:hAnsi="Times New Roman" w:eastAsia="宋体" w:cs="Times New Roman"/>
          <w:lang w:val="en-US" w:eastAsia="zh-CN"/>
        </w:rPr>
        <w:t>的主要结论与建议及审批部门审批决定</w:t>
      </w:r>
      <w:bookmarkEnd w:id="169"/>
      <w:bookmarkEnd w:id="170"/>
    </w:p>
    <w:p w14:paraId="7FDA8706">
      <w:pPr>
        <w:pStyle w:val="5"/>
        <w:outlineLvl w:val="1"/>
        <w:rPr>
          <w:rFonts w:hint="default" w:ascii="Times New Roman" w:hAnsi="Times New Roman" w:eastAsia="宋体" w:cs="Times New Roman"/>
          <w:b w:val="0"/>
          <w:bCs/>
          <w:lang w:val="en-US" w:eastAsia="zh-CN"/>
        </w:rPr>
      </w:pPr>
      <w:bookmarkStart w:id="171" w:name="_Toc2947"/>
      <w:bookmarkStart w:id="172" w:name="_Toc27966"/>
      <w:bookmarkStart w:id="173" w:name="_Toc25858"/>
      <w:bookmarkStart w:id="174" w:name="_Toc22450"/>
      <w:bookmarkStart w:id="175" w:name="_Toc20129"/>
      <w:r>
        <w:rPr>
          <w:rFonts w:hint="default" w:ascii="Times New Roman" w:hAnsi="Times New Roman" w:eastAsia="宋体" w:cs="Times New Roman"/>
          <w:b w:val="0"/>
          <w:bCs/>
          <w:lang w:val="en-US" w:eastAsia="zh-CN"/>
        </w:rPr>
        <w:t>5.1建设项目环评报告</w:t>
      </w:r>
      <w:r>
        <w:rPr>
          <w:rFonts w:hint="eastAsia" w:cs="Times New Roman"/>
          <w:b w:val="0"/>
          <w:bCs/>
          <w:lang w:val="en-US" w:eastAsia="zh-CN"/>
        </w:rPr>
        <w:t>表</w:t>
      </w:r>
      <w:r>
        <w:rPr>
          <w:rFonts w:hint="default" w:ascii="Times New Roman" w:hAnsi="Times New Roman" w:eastAsia="宋体" w:cs="Times New Roman"/>
          <w:b w:val="0"/>
          <w:bCs/>
          <w:lang w:val="en-US" w:eastAsia="zh-CN"/>
        </w:rPr>
        <w:t>的主要结论与建议</w:t>
      </w:r>
      <w:bookmarkEnd w:id="171"/>
      <w:bookmarkEnd w:id="172"/>
      <w:bookmarkEnd w:id="173"/>
      <w:bookmarkEnd w:id="174"/>
      <w:bookmarkEnd w:id="175"/>
    </w:p>
    <w:p w14:paraId="7BCDAA99">
      <w:pPr>
        <w:pStyle w:val="2"/>
        <w:ind w:left="0" w:leftChars="0" w:firstLine="0" w:firstLineChars="0"/>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5.1.1环评中要求落实的环保措施</w:t>
      </w:r>
    </w:p>
    <w:p w14:paraId="2C46E413">
      <w:pPr>
        <w:pStyle w:val="2"/>
        <w:jc w:val="center"/>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表5-1环评中环保措施一览表</w:t>
      </w:r>
    </w:p>
    <w:tbl>
      <w:tblPr>
        <w:tblStyle w:val="18"/>
        <w:tblW w:w="8845"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4"/>
        <w:gridCol w:w="1094"/>
        <w:gridCol w:w="662"/>
        <w:gridCol w:w="792"/>
        <w:gridCol w:w="3099"/>
        <w:gridCol w:w="2464"/>
      </w:tblGrid>
      <w:tr w14:paraId="5D0F4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734" w:type="dxa"/>
            <w:tcBorders>
              <w:top w:val="single" w:color="000000" w:sz="8" w:space="0"/>
              <w:left w:val="single" w:color="000000" w:sz="8" w:space="0"/>
              <w:tl2br w:val="single" w:color="000000" w:sz="4" w:space="0"/>
            </w:tcBorders>
            <w:vAlign w:val="center"/>
          </w:tcPr>
          <w:p w14:paraId="554472FE">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内容</w:t>
            </w:r>
          </w:p>
          <w:p w14:paraId="5B54B0DB">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要素</w:t>
            </w:r>
          </w:p>
        </w:tc>
        <w:tc>
          <w:tcPr>
            <w:tcW w:w="1094" w:type="dxa"/>
            <w:tcBorders>
              <w:top w:val="single" w:color="000000" w:sz="8" w:space="0"/>
            </w:tcBorders>
            <w:vAlign w:val="center"/>
          </w:tcPr>
          <w:p w14:paraId="7DA17964">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排放口(编</w:t>
            </w:r>
          </w:p>
          <w:p w14:paraId="1CFD603B">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号、名称)/</w:t>
            </w:r>
          </w:p>
          <w:p w14:paraId="1B6FFC4E">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污染源</w:t>
            </w:r>
          </w:p>
        </w:tc>
        <w:tc>
          <w:tcPr>
            <w:tcW w:w="1454" w:type="dxa"/>
            <w:gridSpan w:val="2"/>
            <w:tcBorders>
              <w:top w:val="single" w:color="000000" w:sz="8" w:space="0"/>
            </w:tcBorders>
            <w:vAlign w:val="center"/>
          </w:tcPr>
          <w:p w14:paraId="1FDF81B1">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污染物项目</w:t>
            </w:r>
          </w:p>
        </w:tc>
        <w:tc>
          <w:tcPr>
            <w:tcW w:w="3099" w:type="dxa"/>
            <w:tcBorders>
              <w:top w:val="single" w:color="000000" w:sz="8" w:space="0"/>
            </w:tcBorders>
            <w:vAlign w:val="center"/>
          </w:tcPr>
          <w:p w14:paraId="472695DC">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lang w:eastAsia="zh-CN"/>
              </w:rPr>
              <w:t>环评中要求</w:t>
            </w:r>
            <w:r>
              <w:rPr>
                <w:rFonts w:hint="eastAsia" w:ascii="宋体" w:hAnsi="宋体" w:eastAsia="宋体" w:cs="宋体"/>
                <w:sz w:val="21"/>
                <w:szCs w:val="21"/>
              </w:rPr>
              <w:t>处理措施</w:t>
            </w:r>
          </w:p>
        </w:tc>
        <w:tc>
          <w:tcPr>
            <w:tcW w:w="2464" w:type="dxa"/>
            <w:tcBorders>
              <w:top w:val="single" w:color="000000" w:sz="8" w:space="0"/>
              <w:right w:val="single" w:color="000000" w:sz="8" w:space="0"/>
            </w:tcBorders>
            <w:vAlign w:val="center"/>
          </w:tcPr>
          <w:p w14:paraId="3E0D2A69">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lang w:eastAsia="zh-CN"/>
              </w:rPr>
              <w:t>实际处理措施</w:t>
            </w:r>
          </w:p>
        </w:tc>
      </w:tr>
      <w:tr w14:paraId="7498B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6" w:hRule="atLeast"/>
        </w:trPr>
        <w:tc>
          <w:tcPr>
            <w:tcW w:w="734" w:type="dxa"/>
            <w:vMerge w:val="restart"/>
            <w:tcBorders>
              <w:left w:val="single" w:color="000000" w:sz="8" w:space="0"/>
              <w:bottom w:val="nil"/>
            </w:tcBorders>
            <w:vAlign w:val="center"/>
          </w:tcPr>
          <w:p w14:paraId="77125789">
            <w:pPr>
              <w:adjustRightInd w:val="0"/>
              <w:snapToGrid w:val="0"/>
              <w:spacing w:line="360" w:lineRule="auto"/>
              <w:jc w:val="center"/>
              <w:rPr>
                <w:rFonts w:hint="eastAsia" w:ascii="宋体" w:hAnsi="宋体" w:eastAsia="宋体" w:cs="宋体"/>
                <w:sz w:val="21"/>
                <w:szCs w:val="21"/>
              </w:rPr>
            </w:pPr>
          </w:p>
          <w:p w14:paraId="6B4DF688">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大气</w:t>
            </w:r>
          </w:p>
          <w:p w14:paraId="45A7825B">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环境</w:t>
            </w:r>
          </w:p>
        </w:tc>
        <w:tc>
          <w:tcPr>
            <w:tcW w:w="1094" w:type="dxa"/>
            <w:vAlign w:val="center"/>
          </w:tcPr>
          <w:p w14:paraId="19740F02">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吹膜、制袋、印刷</w:t>
            </w:r>
          </w:p>
        </w:tc>
        <w:tc>
          <w:tcPr>
            <w:tcW w:w="1454" w:type="dxa"/>
            <w:gridSpan w:val="2"/>
            <w:vAlign w:val="center"/>
          </w:tcPr>
          <w:p w14:paraId="366E89DE">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非甲烷总烃、臭气浓度</w:t>
            </w:r>
          </w:p>
        </w:tc>
        <w:tc>
          <w:tcPr>
            <w:tcW w:w="3099" w:type="dxa"/>
            <w:vAlign w:val="center"/>
          </w:tcPr>
          <w:p w14:paraId="0818DE90">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收集后经</w:t>
            </w:r>
            <w:r>
              <w:rPr>
                <w:rFonts w:hint="eastAsia" w:ascii="宋体" w:hAnsi="宋体" w:eastAsia="宋体" w:cs="宋体"/>
                <w:sz w:val="21"/>
                <w:szCs w:val="21"/>
                <w:lang w:val="en-US" w:eastAsia="zh-CN"/>
              </w:rPr>
              <w:t>活性炭吸附</w:t>
            </w:r>
            <w:r>
              <w:rPr>
                <w:rFonts w:hint="eastAsia" w:ascii="宋体" w:hAnsi="宋体" w:eastAsia="宋体" w:cs="宋体"/>
                <w:sz w:val="21"/>
                <w:szCs w:val="21"/>
                <w:lang w:eastAsia="zh-CN"/>
              </w:rPr>
              <w:t>装置</w:t>
            </w:r>
            <w:r>
              <w:rPr>
                <w:rFonts w:hint="eastAsia" w:ascii="宋体" w:hAnsi="宋体" w:eastAsia="宋体" w:cs="宋体"/>
                <w:sz w:val="21"/>
                <w:szCs w:val="21"/>
                <w:lang w:val="en-US" w:eastAsia="zh-CN"/>
              </w:rPr>
              <w:t>处理</w:t>
            </w:r>
            <w:r>
              <w:rPr>
                <w:rFonts w:hint="eastAsia" w:ascii="宋体" w:hAnsi="宋体" w:eastAsia="宋体" w:cs="宋体"/>
                <w:sz w:val="21"/>
                <w:szCs w:val="21"/>
              </w:rPr>
              <w:t>后通过排气筒</w:t>
            </w:r>
            <w:r>
              <w:rPr>
                <w:rFonts w:hint="eastAsia" w:ascii="宋体" w:hAnsi="宋体" w:eastAsia="宋体" w:cs="宋体"/>
                <w:sz w:val="21"/>
                <w:szCs w:val="21"/>
                <w:lang w:val="en-US" w:eastAsia="zh-CN"/>
              </w:rPr>
              <w:t>15</w:t>
            </w:r>
            <w:r>
              <w:rPr>
                <w:rFonts w:hint="eastAsia" w:ascii="宋体" w:hAnsi="宋体" w:eastAsia="宋体" w:cs="宋体"/>
                <w:sz w:val="21"/>
                <w:szCs w:val="21"/>
              </w:rPr>
              <w:t>米高空排放</w:t>
            </w:r>
          </w:p>
        </w:tc>
        <w:tc>
          <w:tcPr>
            <w:tcW w:w="2464" w:type="dxa"/>
            <w:tcBorders>
              <w:right w:val="single" w:color="000000" w:sz="8" w:space="0"/>
            </w:tcBorders>
            <w:vAlign w:val="center"/>
          </w:tcPr>
          <w:p w14:paraId="36FA8428">
            <w:pPr>
              <w:adjustRightInd w:val="0"/>
              <w:snapToGri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收集后经</w:t>
            </w:r>
            <w:r>
              <w:rPr>
                <w:rFonts w:hint="eastAsia" w:ascii="宋体" w:hAnsi="宋体" w:eastAsia="宋体" w:cs="宋体"/>
                <w:sz w:val="21"/>
                <w:szCs w:val="21"/>
                <w:lang w:val="en-US" w:eastAsia="zh-CN"/>
              </w:rPr>
              <w:t>活性炭吸附</w:t>
            </w:r>
            <w:r>
              <w:rPr>
                <w:rFonts w:hint="eastAsia" w:ascii="宋体" w:hAnsi="宋体" w:eastAsia="宋体" w:cs="宋体"/>
                <w:sz w:val="21"/>
                <w:szCs w:val="21"/>
                <w:lang w:eastAsia="zh-CN"/>
              </w:rPr>
              <w:t>装置</w:t>
            </w:r>
            <w:r>
              <w:rPr>
                <w:rFonts w:hint="eastAsia" w:ascii="宋体" w:hAnsi="宋体" w:eastAsia="宋体" w:cs="宋体"/>
                <w:sz w:val="21"/>
                <w:szCs w:val="21"/>
                <w:lang w:val="en-US" w:eastAsia="zh-CN"/>
              </w:rPr>
              <w:t>处理</w:t>
            </w:r>
            <w:r>
              <w:rPr>
                <w:rFonts w:hint="eastAsia" w:ascii="宋体" w:hAnsi="宋体" w:eastAsia="宋体" w:cs="宋体"/>
                <w:sz w:val="21"/>
                <w:szCs w:val="21"/>
              </w:rPr>
              <w:t>后通过排气筒</w:t>
            </w:r>
            <w:r>
              <w:rPr>
                <w:rFonts w:hint="eastAsia" w:ascii="宋体" w:hAnsi="宋体" w:eastAsia="宋体" w:cs="宋体"/>
                <w:sz w:val="21"/>
                <w:szCs w:val="21"/>
                <w:lang w:val="en-US" w:eastAsia="zh-CN"/>
              </w:rPr>
              <w:t>15</w:t>
            </w:r>
            <w:r>
              <w:rPr>
                <w:rFonts w:hint="eastAsia" w:ascii="宋体" w:hAnsi="宋体" w:eastAsia="宋体" w:cs="宋体"/>
                <w:sz w:val="21"/>
                <w:szCs w:val="21"/>
              </w:rPr>
              <w:t>米高空排放</w:t>
            </w:r>
          </w:p>
        </w:tc>
      </w:tr>
      <w:tr w14:paraId="39B56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734" w:type="dxa"/>
            <w:vMerge w:val="continue"/>
            <w:tcBorders>
              <w:top w:val="nil"/>
              <w:left w:val="single" w:color="000000" w:sz="8" w:space="0"/>
              <w:bottom w:val="nil"/>
            </w:tcBorders>
            <w:vAlign w:val="center"/>
          </w:tcPr>
          <w:p w14:paraId="18BC92D3">
            <w:pPr>
              <w:adjustRightInd w:val="0"/>
              <w:snapToGrid w:val="0"/>
              <w:spacing w:line="360" w:lineRule="auto"/>
              <w:jc w:val="center"/>
              <w:rPr>
                <w:rFonts w:hint="eastAsia" w:ascii="宋体" w:hAnsi="宋体" w:eastAsia="宋体" w:cs="宋体"/>
                <w:sz w:val="21"/>
                <w:szCs w:val="21"/>
              </w:rPr>
            </w:pPr>
          </w:p>
        </w:tc>
        <w:tc>
          <w:tcPr>
            <w:tcW w:w="1094" w:type="dxa"/>
            <w:vAlign w:val="center"/>
          </w:tcPr>
          <w:p w14:paraId="095F055B">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厂区无组织</w:t>
            </w:r>
          </w:p>
        </w:tc>
        <w:tc>
          <w:tcPr>
            <w:tcW w:w="1454" w:type="dxa"/>
            <w:gridSpan w:val="2"/>
            <w:vAlign w:val="center"/>
          </w:tcPr>
          <w:p w14:paraId="2D41995A">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非甲烷总烃</w:t>
            </w:r>
          </w:p>
        </w:tc>
        <w:tc>
          <w:tcPr>
            <w:tcW w:w="3099" w:type="dxa"/>
            <w:vMerge w:val="restart"/>
            <w:tcBorders>
              <w:bottom w:val="nil"/>
            </w:tcBorders>
            <w:vAlign w:val="center"/>
          </w:tcPr>
          <w:p w14:paraId="629DBDC6">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lang w:eastAsia="zh-CN"/>
              </w:rPr>
              <w:t>进一步加强</w:t>
            </w:r>
            <w:r>
              <w:rPr>
                <w:rFonts w:hint="eastAsia" w:ascii="宋体" w:hAnsi="宋体" w:eastAsia="宋体" w:cs="宋体"/>
                <w:sz w:val="21"/>
                <w:szCs w:val="21"/>
                <w:lang w:val="en-US" w:eastAsia="zh-CN"/>
              </w:rPr>
              <w:t>车间</w:t>
            </w:r>
            <w:r>
              <w:rPr>
                <w:rFonts w:hint="eastAsia" w:ascii="宋体" w:hAnsi="宋体" w:eastAsia="宋体" w:cs="宋体"/>
                <w:sz w:val="21"/>
                <w:szCs w:val="21"/>
                <w:lang w:eastAsia="zh-CN"/>
              </w:rPr>
              <w:t>密闭性；优化</w:t>
            </w:r>
            <w:r>
              <w:rPr>
                <w:rFonts w:hint="eastAsia" w:ascii="宋体" w:hAnsi="宋体" w:eastAsia="宋体" w:cs="宋体"/>
                <w:sz w:val="21"/>
                <w:szCs w:val="21"/>
                <w:lang w:val="en-US" w:eastAsia="zh-CN"/>
              </w:rPr>
              <w:t>吹膜</w:t>
            </w:r>
            <w:r>
              <w:rPr>
                <w:rFonts w:hint="eastAsia" w:ascii="宋体" w:hAnsi="宋体" w:eastAsia="宋体" w:cs="宋体"/>
                <w:sz w:val="21"/>
                <w:szCs w:val="21"/>
                <w:lang w:eastAsia="zh-CN"/>
              </w:rPr>
              <w:t>机、</w:t>
            </w:r>
            <w:r>
              <w:rPr>
                <w:rFonts w:hint="eastAsia" w:ascii="宋体" w:hAnsi="宋体" w:eastAsia="宋体" w:cs="宋体"/>
                <w:sz w:val="21"/>
                <w:szCs w:val="21"/>
                <w:lang w:val="en-US" w:eastAsia="zh-CN"/>
              </w:rPr>
              <w:t>印刷机</w:t>
            </w:r>
            <w:r>
              <w:rPr>
                <w:rFonts w:hint="eastAsia" w:ascii="宋体" w:hAnsi="宋体" w:eastAsia="宋体" w:cs="宋体"/>
                <w:sz w:val="21"/>
                <w:szCs w:val="21"/>
                <w:lang w:eastAsia="zh-CN"/>
              </w:rPr>
              <w:t>废气收集设施，进一步提高废气收集效率。</w:t>
            </w:r>
          </w:p>
        </w:tc>
        <w:tc>
          <w:tcPr>
            <w:tcW w:w="2464" w:type="dxa"/>
            <w:vMerge w:val="restart"/>
            <w:tcBorders>
              <w:right w:val="single" w:color="000000" w:sz="8" w:space="0"/>
            </w:tcBorders>
            <w:vAlign w:val="center"/>
          </w:tcPr>
          <w:p w14:paraId="7BD4063D">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提高废气收集效率</w:t>
            </w:r>
            <w:r>
              <w:rPr>
                <w:rFonts w:hint="eastAsia" w:ascii="宋体" w:hAnsi="宋体" w:eastAsia="宋体" w:cs="宋体"/>
                <w:sz w:val="21"/>
                <w:szCs w:val="21"/>
                <w:lang w:eastAsia="zh-CN"/>
              </w:rPr>
              <w:t>，</w:t>
            </w:r>
            <w:r>
              <w:rPr>
                <w:rFonts w:hint="eastAsia" w:ascii="宋体" w:hAnsi="宋体" w:eastAsia="宋体" w:cs="宋体"/>
                <w:sz w:val="21"/>
                <w:szCs w:val="21"/>
              </w:rPr>
              <w:t>加强车间内换气通风。</w:t>
            </w:r>
          </w:p>
        </w:tc>
      </w:tr>
      <w:tr w14:paraId="3EAAF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734" w:type="dxa"/>
            <w:vMerge w:val="continue"/>
            <w:tcBorders>
              <w:top w:val="nil"/>
              <w:left w:val="single" w:color="000000" w:sz="8" w:space="0"/>
              <w:bottom w:val="nil"/>
            </w:tcBorders>
            <w:vAlign w:val="center"/>
          </w:tcPr>
          <w:p w14:paraId="3E4C4AC3">
            <w:pPr>
              <w:adjustRightInd w:val="0"/>
              <w:snapToGrid w:val="0"/>
              <w:spacing w:line="360" w:lineRule="auto"/>
              <w:jc w:val="center"/>
              <w:rPr>
                <w:rFonts w:hint="eastAsia" w:ascii="宋体" w:hAnsi="宋体" w:eastAsia="宋体" w:cs="宋体"/>
                <w:sz w:val="21"/>
                <w:szCs w:val="21"/>
              </w:rPr>
            </w:pPr>
          </w:p>
        </w:tc>
        <w:tc>
          <w:tcPr>
            <w:tcW w:w="1094" w:type="dxa"/>
            <w:vMerge w:val="restart"/>
            <w:tcBorders>
              <w:bottom w:val="nil"/>
            </w:tcBorders>
            <w:vAlign w:val="center"/>
          </w:tcPr>
          <w:p w14:paraId="7ADB78A5">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厂界无组织</w:t>
            </w:r>
          </w:p>
        </w:tc>
        <w:tc>
          <w:tcPr>
            <w:tcW w:w="1454" w:type="dxa"/>
            <w:gridSpan w:val="2"/>
            <w:vAlign w:val="center"/>
          </w:tcPr>
          <w:p w14:paraId="2F0169D5">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非甲烷总烃、臭气浓度</w:t>
            </w:r>
          </w:p>
        </w:tc>
        <w:tc>
          <w:tcPr>
            <w:tcW w:w="3099" w:type="dxa"/>
            <w:vMerge w:val="continue"/>
            <w:tcBorders>
              <w:top w:val="nil"/>
              <w:bottom w:val="nil"/>
            </w:tcBorders>
            <w:vAlign w:val="center"/>
          </w:tcPr>
          <w:p w14:paraId="19F0EC66">
            <w:pPr>
              <w:adjustRightInd w:val="0"/>
              <w:snapToGrid w:val="0"/>
              <w:spacing w:line="360" w:lineRule="auto"/>
              <w:jc w:val="center"/>
              <w:rPr>
                <w:rFonts w:hint="eastAsia" w:ascii="宋体" w:hAnsi="宋体" w:eastAsia="宋体" w:cs="宋体"/>
                <w:sz w:val="21"/>
                <w:szCs w:val="21"/>
              </w:rPr>
            </w:pPr>
          </w:p>
        </w:tc>
        <w:tc>
          <w:tcPr>
            <w:tcW w:w="2464" w:type="dxa"/>
            <w:vMerge w:val="continue"/>
            <w:tcBorders>
              <w:right w:val="single" w:color="000000" w:sz="8" w:space="0"/>
            </w:tcBorders>
            <w:vAlign w:val="center"/>
          </w:tcPr>
          <w:p w14:paraId="07AA1833">
            <w:pPr>
              <w:adjustRightInd w:val="0"/>
              <w:snapToGrid w:val="0"/>
              <w:spacing w:line="360" w:lineRule="auto"/>
              <w:jc w:val="center"/>
              <w:rPr>
                <w:rFonts w:hint="eastAsia" w:ascii="宋体" w:hAnsi="宋体" w:eastAsia="宋体" w:cs="宋体"/>
                <w:sz w:val="21"/>
                <w:szCs w:val="21"/>
              </w:rPr>
            </w:pPr>
          </w:p>
        </w:tc>
      </w:tr>
      <w:tr w14:paraId="5BBA9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734" w:type="dxa"/>
            <w:vMerge w:val="restart"/>
            <w:tcBorders>
              <w:left w:val="single" w:color="000000" w:sz="8" w:space="0"/>
              <w:bottom w:val="nil"/>
            </w:tcBorders>
            <w:vAlign w:val="center"/>
          </w:tcPr>
          <w:p w14:paraId="4534C23F">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地表</w:t>
            </w:r>
          </w:p>
          <w:p w14:paraId="5356F989">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水环境</w:t>
            </w:r>
          </w:p>
        </w:tc>
        <w:tc>
          <w:tcPr>
            <w:tcW w:w="1094" w:type="dxa"/>
            <w:vMerge w:val="restart"/>
            <w:vAlign w:val="center"/>
          </w:tcPr>
          <w:p w14:paraId="7406D9F8">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职工生活</w:t>
            </w:r>
          </w:p>
        </w:tc>
        <w:tc>
          <w:tcPr>
            <w:tcW w:w="662" w:type="dxa"/>
            <w:vMerge w:val="restart"/>
            <w:vAlign w:val="center"/>
          </w:tcPr>
          <w:p w14:paraId="48700788">
            <w:pPr>
              <w:adjustRightInd w:val="0"/>
              <w:snapToGrid w:val="0"/>
              <w:spacing w:line="360" w:lineRule="auto"/>
              <w:jc w:val="center"/>
              <w:rPr>
                <w:rFonts w:hint="eastAsia" w:ascii="宋体" w:hAnsi="宋体" w:eastAsia="宋体" w:cs="宋体"/>
                <w:sz w:val="21"/>
                <w:szCs w:val="21"/>
              </w:rPr>
            </w:pPr>
          </w:p>
          <w:p w14:paraId="2065D400">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生活</w:t>
            </w:r>
          </w:p>
          <w:p w14:paraId="11375202">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污水</w:t>
            </w:r>
          </w:p>
        </w:tc>
        <w:tc>
          <w:tcPr>
            <w:tcW w:w="792" w:type="dxa"/>
            <w:vAlign w:val="center"/>
          </w:tcPr>
          <w:p w14:paraId="35188BD0">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CODCr</w:t>
            </w:r>
          </w:p>
        </w:tc>
        <w:tc>
          <w:tcPr>
            <w:tcW w:w="3099" w:type="dxa"/>
            <w:vMerge w:val="restart"/>
            <w:vAlign w:val="center"/>
          </w:tcPr>
          <w:p w14:paraId="2F6ED9E3">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经化粪池预处理后纳管排放</w:t>
            </w:r>
          </w:p>
        </w:tc>
        <w:tc>
          <w:tcPr>
            <w:tcW w:w="2464" w:type="dxa"/>
            <w:vMerge w:val="restart"/>
            <w:tcBorders>
              <w:right w:val="single" w:color="000000" w:sz="8" w:space="0"/>
            </w:tcBorders>
            <w:vAlign w:val="center"/>
          </w:tcPr>
          <w:p w14:paraId="619F71B9">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企业厂区内不单独设置厕所、化粪池，员工使用村集中公共卫生间，由村委集中统一清运。</w:t>
            </w:r>
          </w:p>
        </w:tc>
      </w:tr>
      <w:tr w14:paraId="729D3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34" w:type="dxa"/>
            <w:vMerge w:val="continue"/>
            <w:tcBorders>
              <w:top w:val="nil"/>
              <w:left w:val="single" w:color="000000" w:sz="8" w:space="0"/>
              <w:bottom w:val="nil"/>
            </w:tcBorders>
            <w:vAlign w:val="center"/>
          </w:tcPr>
          <w:p w14:paraId="60352482">
            <w:pPr>
              <w:adjustRightInd w:val="0"/>
              <w:snapToGrid w:val="0"/>
              <w:spacing w:line="360" w:lineRule="auto"/>
              <w:jc w:val="center"/>
              <w:rPr>
                <w:rFonts w:hint="eastAsia" w:ascii="宋体" w:hAnsi="宋体" w:eastAsia="宋体" w:cs="宋体"/>
                <w:sz w:val="21"/>
                <w:szCs w:val="21"/>
              </w:rPr>
            </w:pPr>
          </w:p>
        </w:tc>
        <w:tc>
          <w:tcPr>
            <w:tcW w:w="1094" w:type="dxa"/>
            <w:vMerge w:val="continue"/>
            <w:vAlign w:val="center"/>
          </w:tcPr>
          <w:p w14:paraId="4EF6443C">
            <w:pPr>
              <w:adjustRightInd w:val="0"/>
              <w:snapToGrid w:val="0"/>
              <w:spacing w:line="360" w:lineRule="auto"/>
              <w:jc w:val="center"/>
              <w:rPr>
                <w:rFonts w:hint="eastAsia" w:ascii="宋体" w:hAnsi="宋体" w:eastAsia="宋体" w:cs="宋体"/>
                <w:sz w:val="21"/>
                <w:szCs w:val="21"/>
              </w:rPr>
            </w:pPr>
          </w:p>
        </w:tc>
        <w:tc>
          <w:tcPr>
            <w:tcW w:w="662" w:type="dxa"/>
            <w:vMerge w:val="continue"/>
            <w:vAlign w:val="center"/>
          </w:tcPr>
          <w:p w14:paraId="1417E3BD">
            <w:pPr>
              <w:adjustRightInd w:val="0"/>
              <w:snapToGrid w:val="0"/>
              <w:spacing w:line="360" w:lineRule="auto"/>
              <w:jc w:val="center"/>
              <w:rPr>
                <w:rFonts w:hint="eastAsia" w:ascii="宋体" w:hAnsi="宋体" w:eastAsia="宋体" w:cs="宋体"/>
                <w:sz w:val="21"/>
                <w:szCs w:val="21"/>
              </w:rPr>
            </w:pPr>
          </w:p>
        </w:tc>
        <w:tc>
          <w:tcPr>
            <w:tcW w:w="792" w:type="dxa"/>
            <w:vAlign w:val="center"/>
          </w:tcPr>
          <w:p w14:paraId="67305E1C">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SS</w:t>
            </w:r>
          </w:p>
        </w:tc>
        <w:tc>
          <w:tcPr>
            <w:tcW w:w="3099" w:type="dxa"/>
            <w:vMerge w:val="continue"/>
            <w:vAlign w:val="center"/>
          </w:tcPr>
          <w:p w14:paraId="13C30370">
            <w:pPr>
              <w:adjustRightInd w:val="0"/>
              <w:snapToGrid w:val="0"/>
              <w:spacing w:line="360" w:lineRule="auto"/>
              <w:jc w:val="center"/>
              <w:rPr>
                <w:rFonts w:hint="eastAsia" w:ascii="宋体" w:hAnsi="宋体" w:eastAsia="宋体" w:cs="宋体"/>
                <w:sz w:val="21"/>
                <w:szCs w:val="21"/>
              </w:rPr>
            </w:pPr>
          </w:p>
        </w:tc>
        <w:tc>
          <w:tcPr>
            <w:tcW w:w="2464" w:type="dxa"/>
            <w:vMerge w:val="continue"/>
            <w:tcBorders>
              <w:right w:val="single" w:color="000000" w:sz="8" w:space="0"/>
            </w:tcBorders>
            <w:vAlign w:val="center"/>
          </w:tcPr>
          <w:p w14:paraId="2360C937">
            <w:pPr>
              <w:adjustRightInd w:val="0"/>
              <w:snapToGrid w:val="0"/>
              <w:spacing w:line="360" w:lineRule="auto"/>
              <w:jc w:val="center"/>
              <w:rPr>
                <w:rFonts w:hint="eastAsia" w:ascii="宋体" w:hAnsi="宋体" w:eastAsia="宋体" w:cs="宋体"/>
                <w:sz w:val="21"/>
                <w:szCs w:val="21"/>
              </w:rPr>
            </w:pPr>
          </w:p>
        </w:tc>
      </w:tr>
      <w:tr w14:paraId="3980D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34" w:type="dxa"/>
            <w:vMerge w:val="continue"/>
            <w:tcBorders>
              <w:top w:val="nil"/>
              <w:left w:val="single" w:color="000000" w:sz="8" w:space="0"/>
            </w:tcBorders>
            <w:vAlign w:val="center"/>
          </w:tcPr>
          <w:p w14:paraId="50B40314">
            <w:pPr>
              <w:adjustRightInd w:val="0"/>
              <w:snapToGrid w:val="0"/>
              <w:spacing w:line="360" w:lineRule="auto"/>
              <w:jc w:val="center"/>
              <w:rPr>
                <w:rFonts w:hint="eastAsia" w:ascii="宋体" w:hAnsi="宋体" w:eastAsia="宋体" w:cs="宋体"/>
                <w:sz w:val="21"/>
                <w:szCs w:val="21"/>
              </w:rPr>
            </w:pPr>
          </w:p>
        </w:tc>
        <w:tc>
          <w:tcPr>
            <w:tcW w:w="1094" w:type="dxa"/>
            <w:vMerge w:val="continue"/>
            <w:vAlign w:val="center"/>
          </w:tcPr>
          <w:p w14:paraId="0D9B4A62">
            <w:pPr>
              <w:adjustRightInd w:val="0"/>
              <w:snapToGrid w:val="0"/>
              <w:spacing w:line="360" w:lineRule="auto"/>
              <w:jc w:val="center"/>
              <w:rPr>
                <w:rFonts w:hint="eastAsia" w:ascii="宋体" w:hAnsi="宋体" w:eastAsia="宋体" w:cs="宋体"/>
                <w:sz w:val="21"/>
                <w:szCs w:val="21"/>
              </w:rPr>
            </w:pPr>
          </w:p>
        </w:tc>
        <w:tc>
          <w:tcPr>
            <w:tcW w:w="662" w:type="dxa"/>
            <w:vMerge w:val="continue"/>
            <w:vAlign w:val="center"/>
          </w:tcPr>
          <w:p w14:paraId="2ACA0AE0">
            <w:pPr>
              <w:adjustRightInd w:val="0"/>
              <w:snapToGrid w:val="0"/>
              <w:spacing w:line="360" w:lineRule="auto"/>
              <w:jc w:val="center"/>
              <w:rPr>
                <w:rFonts w:hint="eastAsia" w:ascii="宋体" w:hAnsi="宋体" w:eastAsia="宋体" w:cs="宋体"/>
                <w:sz w:val="21"/>
                <w:szCs w:val="21"/>
              </w:rPr>
            </w:pPr>
          </w:p>
        </w:tc>
        <w:tc>
          <w:tcPr>
            <w:tcW w:w="792" w:type="dxa"/>
            <w:vAlign w:val="center"/>
          </w:tcPr>
          <w:p w14:paraId="781F552E">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NH</w:t>
            </w:r>
            <w:r>
              <w:rPr>
                <w:rFonts w:hint="eastAsia" w:ascii="宋体" w:hAnsi="宋体" w:eastAsia="宋体" w:cs="宋体"/>
                <w:sz w:val="21"/>
                <w:szCs w:val="21"/>
                <w:vertAlign w:val="subscript"/>
              </w:rPr>
              <w:t>3</w:t>
            </w:r>
            <w:r>
              <w:rPr>
                <w:rFonts w:hint="eastAsia" w:ascii="宋体" w:hAnsi="宋体" w:eastAsia="宋体" w:cs="宋体"/>
                <w:sz w:val="21"/>
                <w:szCs w:val="21"/>
              </w:rPr>
              <w:t>-N</w:t>
            </w:r>
          </w:p>
        </w:tc>
        <w:tc>
          <w:tcPr>
            <w:tcW w:w="3099" w:type="dxa"/>
            <w:vMerge w:val="continue"/>
            <w:vAlign w:val="center"/>
          </w:tcPr>
          <w:p w14:paraId="2D9FE830">
            <w:pPr>
              <w:adjustRightInd w:val="0"/>
              <w:snapToGrid w:val="0"/>
              <w:spacing w:line="360" w:lineRule="auto"/>
              <w:jc w:val="center"/>
              <w:rPr>
                <w:rFonts w:hint="eastAsia" w:ascii="宋体" w:hAnsi="宋体" w:eastAsia="宋体" w:cs="宋体"/>
                <w:sz w:val="21"/>
                <w:szCs w:val="21"/>
              </w:rPr>
            </w:pPr>
          </w:p>
        </w:tc>
        <w:tc>
          <w:tcPr>
            <w:tcW w:w="2464" w:type="dxa"/>
            <w:vMerge w:val="continue"/>
            <w:tcBorders>
              <w:right w:val="single" w:color="000000" w:sz="8" w:space="0"/>
            </w:tcBorders>
            <w:vAlign w:val="center"/>
          </w:tcPr>
          <w:p w14:paraId="6711FAE5">
            <w:pPr>
              <w:adjustRightInd w:val="0"/>
              <w:snapToGrid w:val="0"/>
              <w:spacing w:line="360" w:lineRule="auto"/>
              <w:jc w:val="center"/>
              <w:rPr>
                <w:rFonts w:hint="eastAsia" w:ascii="宋体" w:hAnsi="宋体" w:eastAsia="宋体" w:cs="宋体"/>
                <w:sz w:val="21"/>
                <w:szCs w:val="21"/>
              </w:rPr>
            </w:pPr>
          </w:p>
        </w:tc>
      </w:tr>
      <w:tr w14:paraId="659DE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734" w:type="dxa"/>
            <w:tcBorders>
              <w:left w:val="single" w:color="000000" w:sz="8" w:space="0"/>
            </w:tcBorders>
            <w:vAlign w:val="center"/>
          </w:tcPr>
          <w:p w14:paraId="348388DA">
            <w:pPr>
              <w:adjustRightInd w:val="0"/>
              <w:snapToGrid w:val="0"/>
              <w:spacing w:line="360" w:lineRule="auto"/>
              <w:jc w:val="center"/>
              <w:rPr>
                <w:rFonts w:hint="eastAsia" w:ascii="宋体" w:hAnsi="宋体" w:eastAsia="宋体" w:cs="宋体"/>
                <w:sz w:val="21"/>
                <w:szCs w:val="21"/>
              </w:rPr>
            </w:pPr>
          </w:p>
          <w:p w14:paraId="7B5BC960">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声环境</w:t>
            </w:r>
          </w:p>
        </w:tc>
        <w:tc>
          <w:tcPr>
            <w:tcW w:w="1094" w:type="dxa"/>
            <w:vAlign w:val="center"/>
          </w:tcPr>
          <w:p w14:paraId="4B5A2607">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厂界四周</w:t>
            </w:r>
          </w:p>
        </w:tc>
        <w:tc>
          <w:tcPr>
            <w:tcW w:w="1454" w:type="dxa"/>
            <w:gridSpan w:val="2"/>
            <w:vAlign w:val="center"/>
          </w:tcPr>
          <w:p w14:paraId="63110D97">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噪声</w:t>
            </w:r>
          </w:p>
        </w:tc>
        <w:tc>
          <w:tcPr>
            <w:tcW w:w="3099" w:type="dxa"/>
            <w:vAlign w:val="center"/>
          </w:tcPr>
          <w:p w14:paraId="41D3CC6D">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基础减震、隔声门窗</w:t>
            </w:r>
          </w:p>
        </w:tc>
        <w:tc>
          <w:tcPr>
            <w:tcW w:w="2464" w:type="dxa"/>
            <w:tcBorders>
              <w:right w:val="single" w:color="000000" w:sz="8" w:space="0"/>
            </w:tcBorders>
            <w:vAlign w:val="center"/>
          </w:tcPr>
          <w:p w14:paraId="52D72FD7">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基础减震、隔声门窗</w:t>
            </w:r>
          </w:p>
        </w:tc>
      </w:tr>
      <w:tr w14:paraId="6AF5BD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734" w:type="dxa"/>
            <w:tcBorders>
              <w:left w:val="single" w:color="000000" w:sz="8" w:space="0"/>
            </w:tcBorders>
            <w:shd w:val="clear" w:color="auto" w:fill="auto"/>
            <w:vAlign w:val="center"/>
          </w:tcPr>
          <w:p w14:paraId="462C42E2">
            <w:pPr>
              <w:adjustRightInd w:val="0"/>
              <w:snapToGrid w:val="0"/>
              <w:spacing w:line="36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固体废物</w:t>
            </w:r>
          </w:p>
        </w:tc>
        <w:tc>
          <w:tcPr>
            <w:tcW w:w="8111" w:type="dxa"/>
            <w:gridSpan w:val="5"/>
            <w:tcBorders>
              <w:right w:val="single" w:color="000000" w:sz="8" w:space="0"/>
            </w:tcBorders>
            <w:shd w:val="clear" w:color="auto" w:fill="auto"/>
            <w:vAlign w:val="center"/>
          </w:tcPr>
          <w:p w14:paraId="466EB01D">
            <w:pPr>
              <w:adjustRightInd w:val="0"/>
              <w:snapToGrid w:val="0"/>
              <w:spacing w:line="360" w:lineRule="auto"/>
              <w:ind w:firstLine="420" w:firstLineChars="20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生活垃圾由村委统一清运后处置；次品、边角料委托一般固废处置公司安全处置；废包装桶、废油、废擦拭布、废活性炭均属于危险固废，委托有资质单位杭州沈达环境科技有限公司安全转运处置，平时存放应按照危废管理，同时做好危废仓库的防雨、防渗漏、防扬撒“三防”措施。</w:t>
            </w:r>
          </w:p>
        </w:tc>
      </w:tr>
      <w:tr w14:paraId="0FC48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734" w:type="dxa"/>
            <w:tcBorders>
              <w:left w:val="single" w:color="000000" w:sz="8" w:space="0"/>
            </w:tcBorders>
            <w:shd w:val="clear" w:color="auto" w:fill="auto"/>
            <w:vAlign w:val="center"/>
          </w:tcPr>
          <w:p w14:paraId="6A5A9B69">
            <w:pPr>
              <w:adjustRightInd w:val="0"/>
              <w:snapToGrid w:val="0"/>
              <w:spacing w:line="360" w:lineRule="auto"/>
              <w:jc w:val="center"/>
              <w:rPr>
                <w:rFonts w:hint="eastAsia" w:ascii="宋体" w:hAnsi="宋体" w:eastAsia="宋体" w:cs="宋体"/>
                <w:sz w:val="21"/>
                <w:szCs w:val="21"/>
                <w:lang w:val="en-US" w:eastAsia="en-US"/>
              </w:rPr>
            </w:pPr>
            <w:r>
              <w:rPr>
                <w:rFonts w:hint="eastAsia" w:ascii="宋体" w:hAnsi="宋体" w:eastAsia="宋体" w:cs="宋体"/>
                <w:sz w:val="21"/>
                <w:szCs w:val="21"/>
                <w:lang w:eastAsia="zh-CN"/>
              </w:rPr>
              <w:t>土壤及地下水污染防治措施</w:t>
            </w:r>
          </w:p>
        </w:tc>
        <w:tc>
          <w:tcPr>
            <w:tcW w:w="8111" w:type="dxa"/>
            <w:gridSpan w:val="5"/>
            <w:tcBorders>
              <w:right w:val="single" w:color="000000" w:sz="8" w:space="0"/>
            </w:tcBorders>
            <w:shd w:val="clear" w:color="auto" w:fill="auto"/>
            <w:vAlign w:val="center"/>
          </w:tcPr>
          <w:p w14:paraId="69D2C3E6">
            <w:pPr>
              <w:adjustRightInd w:val="0"/>
              <w:snapToGrid w:val="0"/>
              <w:spacing w:line="360" w:lineRule="auto"/>
              <w:ind w:firstLine="420" w:firstLineChars="20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危险废物仓库内应做好防渗防漏防腐措施，同时做好日常地下水、土壤防护工作，环保设施及相关防渗系统应定时进行检修维护，一旦发现污染物泄漏应立即采取应急响应，截断污染源并根据污染情况采取土壤、地下水保护措施。</w:t>
            </w:r>
          </w:p>
        </w:tc>
      </w:tr>
      <w:tr w14:paraId="2EE54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734" w:type="dxa"/>
            <w:tcBorders>
              <w:left w:val="single" w:color="000000" w:sz="8" w:space="0"/>
            </w:tcBorders>
            <w:shd w:val="clear" w:color="auto" w:fill="auto"/>
            <w:vAlign w:val="center"/>
          </w:tcPr>
          <w:p w14:paraId="25F325E7">
            <w:pPr>
              <w:pStyle w:val="22"/>
              <w:spacing w:before="38" w:line="217" w:lineRule="auto"/>
              <w:ind w:left="62"/>
              <w:jc w:val="center"/>
              <w:rPr>
                <w:rFonts w:hint="eastAsia" w:ascii="宋体" w:hAnsi="宋体" w:eastAsia="宋体" w:cs="宋体"/>
                <w:sz w:val="21"/>
                <w:szCs w:val="21"/>
              </w:rPr>
            </w:pPr>
            <w:r>
              <w:rPr>
                <w:rFonts w:hint="eastAsia" w:ascii="宋体" w:hAnsi="宋体" w:eastAsia="宋体" w:cs="宋体"/>
                <w:spacing w:val="-6"/>
                <w:sz w:val="21"/>
                <w:szCs w:val="21"/>
              </w:rPr>
              <w:t>生态保</w:t>
            </w:r>
          </w:p>
          <w:p w14:paraId="67E0171E">
            <w:pPr>
              <w:pStyle w:val="22"/>
              <w:spacing w:before="27" w:line="196" w:lineRule="auto"/>
              <w:ind w:left="49" w:leftChars="0"/>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护措施</w:t>
            </w:r>
          </w:p>
        </w:tc>
        <w:tc>
          <w:tcPr>
            <w:tcW w:w="8111" w:type="dxa"/>
            <w:gridSpan w:val="5"/>
            <w:tcBorders>
              <w:right w:val="single" w:color="000000" w:sz="8" w:space="0"/>
            </w:tcBorders>
            <w:shd w:val="clear" w:color="auto" w:fill="auto"/>
            <w:vAlign w:val="center"/>
          </w:tcPr>
          <w:p w14:paraId="11D880BE">
            <w:pPr>
              <w:pStyle w:val="22"/>
              <w:spacing w:before="174" w:line="222" w:lineRule="auto"/>
              <w:ind w:left="3998" w:lef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w:t>
            </w:r>
          </w:p>
        </w:tc>
      </w:tr>
      <w:tr w14:paraId="4AFA5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734" w:type="dxa"/>
            <w:tcBorders>
              <w:left w:val="single" w:color="000000" w:sz="8" w:space="0"/>
            </w:tcBorders>
            <w:shd w:val="clear" w:color="auto" w:fill="auto"/>
            <w:vAlign w:val="center"/>
          </w:tcPr>
          <w:p w14:paraId="4B29E515">
            <w:pPr>
              <w:spacing w:line="266" w:lineRule="auto"/>
              <w:jc w:val="center"/>
              <w:rPr>
                <w:rFonts w:hint="eastAsia" w:ascii="宋体" w:hAnsi="宋体" w:eastAsia="宋体" w:cs="宋体"/>
                <w:sz w:val="21"/>
                <w:szCs w:val="21"/>
              </w:rPr>
            </w:pPr>
          </w:p>
          <w:p w14:paraId="7B84A1DD">
            <w:pPr>
              <w:spacing w:line="266" w:lineRule="auto"/>
              <w:jc w:val="center"/>
              <w:rPr>
                <w:rFonts w:hint="eastAsia" w:ascii="宋体" w:hAnsi="宋体" w:eastAsia="宋体" w:cs="宋体"/>
                <w:sz w:val="21"/>
                <w:szCs w:val="21"/>
              </w:rPr>
            </w:pPr>
          </w:p>
          <w:p w14:paraId="7C11E2B1">
            <w:pPr>
              <w:spacing w:line="266" w:lineRule="auto"/>
              <w:jc w:val="center"/>
              <w:rPr>
                <w:rFonts w:hint="eastAsia" w:ascii="宋体" w:hAnsi="宋体" w:eastAsia="宋体" w:cs="宋体"/>
                <w:sz w:val="21"/>
                <w:szCs w:val="21"/>
              </w:rPr>
            </w:pPr>
          </w:p>
          <w:p w14:paraId="442BD6F1">
            <w:pPr>
              <w:spacing w:line="266" w:lineRule="auto"/>
              <w:jc w:val="center"/>
              <w:rPr>
                <w:rFonts w:hint="eastAsia" w:ascii="宋体" w:hAnsi="宋体" w:eastAsia="宋体" w:cs="宋体"/>
                <w:sz w:val="21"/>
                <w:szCs w:val="21"/>
              </w:rPr>
            </w:pPr>
          </w:p>
          <w:p w14:paraId="3C63E1BA">
            <w:pPr>
              <w:spacing w:line="266" w:lineRule="auto"/>
              <w:jc w:val="center"/>
              <w:rPr>
                <w:rFonts w:hint="eastAsia" w:ascii="宋体" w:hAnsi="宋体" w:eastAsia="宋体" w:cs="宋体"/>
                <w:sz w:val="21"/>
                <w:szCs w:val="21"/>
              </w:rPr>
            </w:pPr>
          </w:p>
          <w:p w14:paraId="4C97EA24">
            <w:pPr>
              <w:spacing w:line="266" w:lineRule="auto"/>
              <w:jc w:val="center"/>
              <w:rPr>
                <w:rFonts w:hint="eastAsia" w:ascii="宋体" w:hAnsi="宋体" w:eastAsia="宋体" w:cs="宋体"/>
                <w:sz w:val="21"/>
                <w:szCs w:val="21"/>
              </w:rPr>
            </w:pPr>
          </w:p>
          <w:p w14:paraId="0B937A58">
            <w:pPr>
              <w:pStyle w:val="22"/>
              <w:spacing w:before="68" w:line="218" w:lineRule="auto"/>
              <w:ind w:left="62"/>
              <w:jc w:val="center"/>
              <w:rPr>
                <w:rFonts w:hint="eastAsia" w:ascii="宋体" w:hAnsi="宋体" w:eastAsia="宋体" w:cs="宋体"/>
                <w:sz w:val="21"/>
                <w:szCs w:val="21"/>
              </w:rPr>
            </w:pPr>
            <w:r>
              <w:rPr>
                <w:rFonts w:hint="eastAsia" w:ascii="宋体" w:hAnsi="宋体" w:eastAsia="宋体" w:cs="宋体"/>
                <w:spacing w:val="-7"/>
                <w:sz w:val="21"/>
                <w:szCs w:val="21"/>
              </w:rPr>
              <w:t>环境风</w:t>
            </w:r>
          </w:p>
          <w:p w14:paraId="0EFD321B">
            <w:pPr>
              <w:pStyle w:val="22"/>
              <w:spacing w:before="23" w:line="241" w:lineRule="auto"/>
              <w:ind w:left="164" w:leftChars="0" w:right="56" w:rightChars="0" w:hanging="92" w:firstLineChars="0"/>
              <w:jc w:val="center"/>
              <w:rPr>
                <w:rFonts w:hint="eastAsia" w:ascii="宋体" w:hAnsi="宋体" w:eastAsia="宋体" w:cs="宋体"/>
                <w:kern w:val="2"/>
                <w:sz w:val="21"/>
                <w:szCs w:val="21"/>
                <w:lang w:val="en-US" w:eastAsia="en-US" w:bidi="ar-SA"/>
              </w:rPr>
            </w:pPr>
            <w:r>
              <w:rPr>
                <w:rFonts w:hint="eastAsia" w:ascii="宋体" w:hAnsi="宋体" w:eastAsia="宋体" w:cs="宋体"/>
                <w:spacing w:val="-14"/>
                <w:sz w:val="21"/>
                <w:szCs w:val="21"/>
              </w:rPr>
              <w:t>险防范</w:t>
            </w:r>
            <w:r>
              <w:rPr>
                <w:rFonts w:hint="eastAsia" w:ascii="宋体" w:hAnsi="宋体" w:eastAsia="宋体" w:cs="宋体"/>
                <w:spacing w:val="-6"/>
                <w:sz w:val="21"/>
                <w:szCs w:val="21"/>
              </w:rPr>
              <w:t>措施</w:t>
            </w:r>
          </w:p>
        </w:tc>
        <w:tc>
          <w:tcPr>
            <w:tcW w:w="8111" w:type="dxa"/>
            <w:gridSpan w:val="5"/>
            <w:tcBorders>
              <w:right w:val="single" w:color="000000" w:sz="8" w:space="0"/>
            </w:tcBorders>
            <w:shd w:val="clear" w:color="auto" w:fill="auto"/>
            <w:vAlign w:val="top"/>
          </w:tcPr>
          <w:p w14:paraId="674BFF8B">
            <w:pPr>
              <w:adjustRightInd w:val="0"/>
              <w:spacing w:line="480" w:lineRule="exact"/>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（1）加强润滑油、油墨仓库的风险防范措施</w:t>
            </w:r>
          </w:p>
          <w:p w14:paraId="01C5413B">
            <w:pPr>
              <w:adjustRightInd w:val="0"/>
              <w:spacing w:line="480" w:lineRule="exact"/>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①润滑油、油墨应储存于阴凉、通风的仓库内。</w:t>
            </w:r>
          </w:p>
          <w:p w14:paraId="2CF14096">
            <w:pPr>
              <w:adjustRightInd w:val="0"/>
              <w:spacing w:line="480" w:lineRule="exact"/>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②仓库远离火种、热源，窗口应密封。</w:t>
            </w:r>
          </w:p>
          <w:p w14:paraId="774BE50B">
            <w:pPr>
              <w:adjustRightInd w:val="0"/>
              <w:spacing w:line="480" w:lineRule="exact"/>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③仓库内要配备泄漏应急处理设备和合适的收容材料。</w:t>
            </w:r>
          </w:p>
          <w:p w14:paraId="127343F4">
            <w:pPr>
              <w:adjustRightInd w:val="0"/>
              <w:spacing w:line="480" w:lineRule="exact"/>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④仓库内要保持地面清洁，方便及时发现泄漏</w:t>
            </w:r>
          </w:p>
          <w:p w14:paraId="682932E0">
            <w:pPr>
              <w:adjustRightInd w:val="0"/>
              <w:spacing w:line="480" w:lineRule="exact"/>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⑤物料搬运时要轻装轻卸，防止包装破裂而发生泄漏。</w:t>
            </w:r>
          </w:p>
          <w:p w14:paraId="4151A394">
            <w:pPr>
              <w:adjustRightInd w:val="0"/>
              <w:spacing w:line="480" w:lineRule="exact"/>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⑥要严格遵守有关贮存的安全规定，具体包括《仓库防火安全管理规则》、《易燃易爆化学物品消防安全监督管理办法》等。</w:t>
            </w:r>
          </w:p>
          <w:p w14:paraId="5B8ED938">
            <w:pPr>
              <w:adjustRightInd w:val="0"/>
              <w:spacing w:line="480" w:lineRule="exact"/>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（2）加强危废仓库的风险防范措施</w:t>
            </w:r>
          </w:p>
          <w:p w14:paraId="50E48E97">
            <w:pPr>
              <w:adjustRightInd w:val="0"/>
              <w:spacing w:line="480" w:lineRule="exact"/>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①危险固废搬运时要轻装轻卸，防止容器破裂而发生泄漏。②危废仓库都必须按《环境保护图形标志-固体废物贮存（处置）场》</w:t>
            </w:r>
          </w:p>
          <w:p w14:paraId="0D8A49D3">
            <w:pPr>
              <w:adjustRightInd w:val="0"/>
              <w:spacing w:line="480" w:lineRule="exact"/>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（GB15562.2）的规定设置警示标志。</w:t>
            </w:r>
          </w:p>
          <w:p w14:paraId="72A8255F">
            <w:pPr>
              <w:adjustRightInd w:val="0"/>
              <w:spacing w:line="480" w:lineRule="exact"/>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③危废仓库周围应设置围墙或其他防护栅栏。</w:t>
            </w:r>
          </w:p>
          <w:p w14:paraId="1447212B">
            <w:pPr>
              <w:adjustRightInd w:val="0"/>
              <w:spacing w:line="480" w:lineRule="exact"/>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④危废仓库应配备通讯设备、照明设施、安全防护服装及工具，并设有应急防护设施。</w:t>
            </w:r>
          </w:p>
          <w:p w14:paraId="706E048E">
            <w:pPr>
              <w:adjustRightInd w:val="0"/>
              <w:spacing w:line="480" w:lineRule="exact"/>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⑤危废仓库内清理出来的泄漏物，一律按危险废物处理。</w:t>
            </w:r>
          </w:p>
          <w:p w14:paraId="52DB4ADD">
            <w:pPr>
              <w:adjustRightInd w:val="0"/>
              <w:spacing w:line="480" w:lineRule="exact"/>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（3）加强火灾的风险预防措施</w:t>
            </w:r>
          </w:p>
          <w:p w14:paraId="0C0DFB2D">
            <w:pPr>
              <w:adjustRightInd w:val="0"/>
              <w:spacing w:line="480" w:lineRule="exact"/>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①在生产过程中必须严格按照消防安全要求，配备必要的消防设施、电气装置，给排水系统和通风系统等。</w:t>
            </w:r>
          </w:p>
          <w:p w14:paraId="12171E81">
            <w:pPr>
              <w:adjustRightInd w:val="0"/>
              <w:spacing w:line="480" w:lineRule="exact"/>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②厂房内设置布置须严格执行国家有关防火防爆的规范、规定，设备之间保证有足够的安全间距，并按要求设置消防通道。</w:t>
            </w:r>
          </w:p>
          <w:p w14:paraId="0701C83E">
            <w:pPr>
              <w:adjustRightInd w:val="0"/>
              <w:spacing w:line="480" w:lineRule="exact"/>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③尽量采用技术先进和安全可靠的设备，并按国家有关规定在车间内设置必要的安全卫生设施。</w:t>
            </w:r>
          </w:p>
          <w:p w14:paraId="3C80AE49">
            <w:pPr>
              <w:adjustRightInd w:val="0"/>
              <w:spacing w:line="480" w:lineRule="exact"/>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④禁止员工在辅料仓库、危废仓库吸烟点火，提高员工安全意识，加强消防培训，更多的立足自防自救。</w:t>
            </w:r>
          </w:p>
          <w:p w14:paraId="3034FB71">
            <w:pPr>
              <w:adjustRightInd w:val="0"/>
              <w:spacing w:line="480" w:lineRule="exact"/>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⑤生产车间及辅料仓库、固废暂存间内应配备泡沫灭火器、消防砂箱和防毒面具等消防应急设备，并定期检查设备有效性；</w:t>
            </w:r>
          </w:p>
          <w:p w14:paraId="1453BDC5">
            <w:pPr>
              <w:adjustRightInd w:val="0"/>
              <w:spacing w:line="480" w:lineRule="exact"/>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⑥发生火情，第一发现人应立即采取灭火器材等进行灭火并切断电源，高声呼喊，使附近人员能够听到或协助补救，同时，通知相关人员负责拨打火警电话“119”，组织现场人员进行安全疏散。</w:t>
            </w:r>
          </w:p>
          <w:p w14:paraId="3B91CB75">
            <w:pPr>
              <w:adjustRightInd w:val="0"/>
              <w:spacing w:line="480" w:lineRule="exact"/>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⑦火灾发生时，为防止有人被困，发生窒息伤害，应准备毛巾湿润后蒙在口、鼻上，防止有毒有害其他吸入肺中，造成窒息伤害。</w:t>
            </w:r>
          </w:p>
          <w:p w14:paraId="13BB0B6A">
            <w:pPr>
              <w:adjustRightInd w:val="0"/>
              <w:spacing w:line="480" w:lineRule="exact"/>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⑧火灾事故后，保护现场，组织抢救人员和财产，及时汇报上级。建立事故应急预案，成立事故应急处理小组，由车间安全负责人担任事故应急小组组长，一旦发生泄漏、火灾等事故，应立即启动事故应急预案，并向有关环境管理部门汇报情况，协助环境管理部门进行应急监测等工作。</w:t>
            </w:r>
          </w:p>
          <w:p w14:paraId="7980E640">
            <w:pPr>
              <w:pStyle w:val="22"/>
              <w:spacing w:before="166" w:line="311" w:lineRule="auto"/>
              <w:ind w:left="28" w:leftChars="0" w:right="20" w:rightChars="0" w:firstLine="510" w:firstLineChars="0"/>
              <w:jc w:val="both"/>
              <w:rPr>
                <w:rFonts w:hint="eastAsia" w:ascii="宋体" w:hAnsi="宋体" w:eastAsia="宋体" w:cs="宋体"/>
                <w:kern w:val="2"/>
                <w:sz w:val="21"/>
                <w:szCs w:val="21"/>
                <w:lang w:val="en-US" w:eastAsia="zh-CN" w:bidi="ar-SA"/>
              </w:rPr>
            </w:pPr>
          </w:p>
        </w:tc>
      </w:tr>
      <w:tr w14:paraId="2BF0B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734" w:type="dxa"/>
            <w:tcBorders>
              <w:left w:val="single" w:color="000000" w:sz="8" w:space="0"/>
            </w:tcBorders>
            <w:shd w:val="clear" w:color="auto" w:fill="auto"/>
            <w:vAlign w:val="center"/>
          </w:tcPr>
          <w:p w14:paraId="66FE654E">
            <w:pPr>
              <w:pStyle w:val="22"/>
              <w:spacing w:before="23" w:line="241" w:lineRule="auto"/>
              <w:ind w:left="164" w:leftChars="0" w:right="56" w:rightChars="0" w:hanging="92" w:firstLineChars="0"/>
              <w:jc w:val="center"/>
              <w:rPr>
                <w:rFonts w:hint="eastAsia" w:ascii="宋体" w:hAnsi="宋体" w:eastAsia="宋体" w:cs="宋体"/>
                <w:spacing w:val="-14"/>
                <w:sz w:val="21"/>
                <w:szCs w:val="21"/>
                <w:lang w:val="en-US" w:eastAsia="zh-CN"/>
              </w:rPr>
            </w:pPr>
            <w:r>
              <w:rPr>
                <w:rFonts w:hint="eastAsia" w:ascii="宋体" w:hAnsi="宋体" w:eastAsia="宋体" w:cs="宋体"/>
                <w:spacing w:val="-14"/>
                <w:sz w:val="21"/>
                <w:szCs w:val="21"/>
                <w:lang w:val="en-US" w:eastAsia="zh-CN"/>
              </w:rPr>
              <w:t>其他</w:t>
            </w:r>
          </w:p>
        </w:tc>
        <w:tc>
          <w:tcPr>
            <w:tcW w:w="8111" w:type="dxa"/>
            <w:gridSpan w:val="5"/>
            <w:tcBorders>
              <w:right w:val="single" w:color="000000" w:sz="8" w:space="0"/>
            </w:tcBorders>
            <w:shd w:val="clear" w:color="auto" w:fill="auto"/>
            <w:vAlign w:val="center"/>
          </w:tcPr>
          <w:p w14:paraId="5E1AA28F">
            <w:pPr>
              <w:adjustRightInd w:val="0"/>
              <w:spacing w:line="480" w:lineRule="exact"/>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1)建议该公司应重视环境保护工作，要有专(兼)职的环保管理员，认真负责整个公司的环境管理、环境统计及污染源的治理工作及长效管理，确保“三废”均能达标排放。</w:t>
            </w:r>
          </w:p>
          <w:p w14:paraId="3F50F18A">
            <w:pPr>
              <w:adjustRightInd w:val="0"/>
              <w:spacing w:line="480" w:lineRule="exact"/>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根据《固定污染源排污许可分类管理名录》(2019年版)，本项目属于登记管理类别，企业应当在启动生产设施或者发生实际排污之前在全国排污许可证管理信息平台填报基本信息、污染物排放去向、执行的污染物排放标准以及采取的污染防治措施等信息。正式生产后，应做好相应的管理工作。</w:t>
            </w:r>
          </w:p>
          <w:p w14:paraId="2772BB97">
            <w:pPr>
              <w:adjustRightInd w:val="0"/>
              <w:spacing w:line="480" w:lineRule="exact"/>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3)确保本报告所提出的各项污染防治措施落到实处，切实履行“三同时”。</w:t>
            </w:r>
          </w:p>
          <w:p w14:paraId="6BAEC0EA">
            <w:pPr>
              <w:adjustRightInd w:val="0"/>
              <w:spacing w:line="480" w:lineRule="exact"/>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加强各污染防治措施管理，做好运行台账记录，确保污染物稳定达标排放。同时根据《排污单位自行监测技术指南总则》(HJ819-2017)、《排污许可证申请与核发技术规范-橡胶和塑料制品工业》(HJ1122-2020)中的相关要求，落实日常管理环境监测工作。</w:t>
            </w:r>
          </w:p>
          <w:p w14:paraId="581ABC54">
            <w:pPr>
              <w:adjustRightInd w:val="0"/>
              <w:spacing w:line="480" w:lineRule="exact"/>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5)建议公司进一步进行清洁生产，采取先进生产管理技术，贯彻清洁生产，降低原料、能源的消耗，同时降低了污染物产生量。</w:t>
            </w:r>
          </w:p>
          <w:p w14:paraId="081ACFFC">
            <w:pPr>
              <w:adjustRightInd w:val="0"/>
              <w:spacing w:line="480" w:lineRule="exact"/>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6)做好雨污分流、清污分流工作，要求加强废水处理，并应做好污水处理设施日常管理，防止废水直接排放。</w:t>
            </w:r>
          </w:p>
          <w:p w14:paraId="2FA03725">
            <w:pPr>
              <w:adjustRightInd w:val="0"/>
              <w:spacing w:line="480" w:lineRule="exact"/>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7)做好废气治理工作，要求加强废气治理，并应做好废气处理设施日常维护管理，防止废气直接排放。</w:t>
            </w:r>
          </w:p>
          <w:p w14:paraId="0C86F1C9">
            <w:pPr>
              <w:adjustRightInd w:val="0"/>
              <w:spacing w:line="480" w:lineRule="exact"/>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8)落实好固体废物的出路，生产固废不得随意外排，并禁止焚烧，防止二次污染。</w:t>
            </w:r>
          </w:p>
          <w:p w14:paraId="16B00133">
            <w:pPr>
              <w:adjustRightInd w:val="0"/>
              <w:spacing w:line="480" w:lineRule="exact"/>
              <w:ind w:firstLine="420" w:firstLineChars="20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9)制定并落实各种相关的生产管理制度，加强对职工的培训教育和环保意识，严格管理、规范操作。</w:t>
            </w:r>
          </w:p>
          <w:p w14:paraId="3E28B9C1">
            <w:pPr>
              <w:adjustRightInd w:val="0"/>
              <w:spacing w:line="480" w:lineRule="exact"/>
              <w:ind w:firstLine="420" w:firstLineChars="200"/>
              <w:jc w:val="both"/>
              <w:rPr>
                <w:rFonts w:hint="eastAsia" w:ascii="宋体" w:hAnsi="宋体" w:eastAsia="宋体" w:cs="宋体"/>
                <w:spacing w:val="2"/>
                <w:sz w:val="21"/>
                <w:szCs w:val="21"/>
              </w:rPr>
            </w:pPr>
            <w:r>
              <w:rPr>
                <w:rFonts w:hint="eastAsia" w:ascii="宋体" w:hAnsi="宋体" w:eastAsia="宋体" w:cs="宋体"/>
                <w:sz w:val="21"/>
                <w:szCs w:val="21"/>
                <w:lang w:val="en-US" w:eastAsia="zh-CN"/>
              </w:rPr>
              <w:t>10)建设项目的性质、规模、地址、采用的生产工艺或者防治污染、防止生态破坏的措施发生重大变动的，企业应当重新报批建设项目的环境影响评价文件。</w:t>
            </w:r>
          </w:p>
        </w:tc>
      </w:tr>
    </w:tbl>
    <w:p w14:paraId="4FDBA9E8">
      <w:pPr>
        <w:pStyle w:val="2"/>
        <w:jc w:val="center"/>
        <w:rPr>
          <w:rFonts w:hint="default" w:ascii="Times New Roman" w:hAnsi="Times New Roman" w:eastAsia="宋体" w:cs="Times New Roman"/>
          <w:b w:val="0"/>
          <w:bCs/>
          <w:sz w:val="24"/>
          <w:szCs w:val="24"/>
          <w:lang w:val="en-US" w:eastAsia="zh-CN"/>
        </w:rPr>
      </w:pPr>
    </w:p>
    <w:p w14:paraId="31AC5D9A">
      <w:pPr>
        <w:pStyle w:val="5"/>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Times New Roman" w:hAnsi="Times New Roman" w:eastAsia="宋体" w:cs="Times New Roman"/>
          <w:b w:val="0"/>
          <w:bCs/>
          <w:lang w:eastAsia="zh-CN"/>
        </w:rPr>
      </w:pPr>
      <w:bookmarkStart w:id="176" w:name="_Toc7845"/>
      <w:r>
        <w:rPr>
          <w:rFonts w:hint="default" w:ascii="Times New Roman" w:hAnsi="Times New Roman" w:eastAsia="宋体" w:cs="Times New Roman"/>
          <w:b w:val="0"/>
          <w:bCs/>
          <w:lang w:val="en-US" w:eastAsia="zh-CN"/>
        </w:rPr>
        <w:t>5.1.</w:t>
      </w:r>
      <w:r>
        <w:rPr>
          <w:rFonts w:hint="eastAsia" w:ascii="Times New Roman" w:hAnsi="Times New Roman" w:eastAsia="宋体" w:cs="Times New Roman"/>
          <w:b w:val="0"/>
          <w:bCs/>
          <w:lang w:val="en-US" w:eastAsia="zh-CN"/>
        </w:rPr>
        <w:t>2建议</w:t>
      </w:r>
    </w:p>
    <w:p w14:paraId="64661BA3">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（1）确保本报告所提出的各项污染防治措施落到实处，切实履行“三同时”。并尽快申请环保竣工验收。</w:t>
      </w:r>
    </w:p>
    <w:p w14:paraId="596FA622">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（2）尽量选取低噪声设备，设备安装时应注意隔音、降噪。</w:t>
      </w:r>
    </w:p>
    <w:p w14:paraId="261552DF">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（3）落实好固体废弃物的出路，禁止焚烧，防止二次污染。</w:t>
      </w:r>
    </w:p>
    <w:p w14:paraId="1B2F0B2F">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（4）制定并落实各种相关的生产管理制度，加强对职工的培训教育，做好各项生产事故防范措施。</w:t>
      </w:r>
    </w:p>
    <w:p w14:paraId="227EC67D">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关心并积极听取可能受项目环境影响的附近的居民和附近单位的工作人员的反映，定期向项目最高管理者和当地环保部门汇报项目环境保护工作的情况，同时接受当地环境保护部门的监督和管理。遵守有关环境法律、法规，树立良好的企业形象，实现经济效益与社会效益、环境效益相统一。</w:t>
      </w:r>
    </w:p>
    <w:p w14:paraId="4BF0C75D">
      <w:pPr>
        <w:pStyle w:val="5"/>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default" w:ascii="Times New Roman" w:hAnsi="Times New Roman" w:eastAsia="宋体" w:cs="Times New Roman"/>
          <w:b w:val="0"/>
          <w:bCs/>
        </w:rPr>
      </w:pPr>
      <w:r>
        <w:rPr>
          <w:rFonts w:hint="default" w:ascii="Times New Roman" w:hAnsi="Times New Roman" w:eastAsia="宋体" w:cs="Times New Roman"/>
          <w:b w:val="0"/>
          <w:bCs/>
          <w:lang w:val="en-US" w:eastAsia="zh-CN"/>
        </w:rPr>
        <w:t>5.1.3</w:t>
      </w:r>
      <w:r>
        <w:rPr>
          <w:rFonts w:hint="default" w:ascii="Times New Roman" w:hAnsi="Times New Roman" w:eastAsia="宋体" w:cs="Times New Roman"/>
          <w:b w:val="0"/>
          <w:bCs/>
        </w:rPr>
        <w:t>环评总结论</w:t>
      </w:r>
      <w:bookmarkEnd w:id="176"/>
    </w:p>
    <w:p w14:paraId="1630D139">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bookmarkStart w:id="177" w:name="_Toc5289"/>
      <w:bookmarkStart w:id="178" w:name="_Toc2409"/>
      <w:bookmarkStart w:id="179" w:name="_Toc26381"/>
      <w:r>
        <w:rPr>
          <w:rFonts w:hint="eastAsia" w:ascii="Times New Roman" w:hAnsi="Times New Roman" w:eastAsia="宋体" w:cs="Times New Roman"/>
          <w:lang w:val="en-US" w:eastAsia="zh-CN"/>
        </w:rPr>
        <w:t>杭州广汇包装材料有限公司年产500万只塑料袋项目选址合理，符合国家产业政策，项目建设符合清洁生产原则，项目污染物在达标排放情况下对周围环境影响较小，区域环境质量能维持现状，只要厂方重视环保工作，认真落实评价提出的各项污染防治对策，加强对污染物的治理工作，做到环保工作专人分管，责任到人，加强对各类污染源的管理，落实环保治理所需要的资金，则该项目的实施，可以做到在较高的生产效益的同时，又能达到环境保护的目标。因此该项目从环保角度来说是可行的。</w:t>
      </w:r>
    </w:p>
    <w:p w14:paraId="61256A73">
      <w:pPr>
        <w:pStyle w:val="5"/>
        <w:pageBreakBefore w:val="0"/>
        <w:widowControl w:val="0"/>
        <w:kinsoku/>
        <w:wordWrap/>
        <w:overflowPunct/>
        <w:topLinePunct w:val="0"/>
        <w:autoSpaceDE/>
        <w:autoSpaceDN/>
        <w:bidi w:val="0"/>
        <w:adjustRightInd/>
        <w:snapToGrid/>
        <w:spacing w:line="360" w:lineRule="auto"/>
        <w:ind w:right="0" w:rightChars="0"/>
        <w:textAlignment w:val="auto"/>
        <w:outlineLvl w:val="1"/>
        <w:rPr>
          <w:rFonts w:hint="default" w:ascii="Times New Roman" w:hAnsi="Times New Roman" w:eastAsia="宋体" w:cs="Times New Roman"/>
          <w:b w:val="0"/>
          <w:bCs/>
          <w:sz w:val="24"/>
          <w:szCs w:val="24"/>
          <w:lang w:val="en-US" w:eastAsia="zh-CN"/>
        </w:rPr>
      </w:pPr>
      <w:bookmarkStart w:id="180" w:name="_Toc11176"/>
      <w:r>
        <w:rPr>
          <w:rFonts w:hint="default" w:ascii="Times New Roman" w:hAnsi="Times New Roman" w:eastAsia="宋体" w:cs="Times New Roman"/>
          <w:b w:val="0"/>
          <w:bCs/>
          <w:sz w:val="24"/>
          <w:szCs w:val="24"/>
          <w:lang w:val="en-US" w:eastAsia="zh-CN"/>
        </w:rPr>
        <w:t>5.2审批部门审批决定</w:t>
      </w:r>
      <w:bookmarkEnd w:id="177"/>
      <w:bookmarkEnd w:id="178"/>
      <w:bookmarkEnd w:id="179"/>
      <w:r>
        <w:rPr>
          <w:rFonts w:hint="eastAsia" w:cs="Times New Roman"/>
          <w:b w:val="0"/>
          <w:bCs/>
          <w:sz w:val="24"/>
          <w:szCs w:val="24"/>
          <w:lang w:val="en-US" w:eastAsia="zh-CN"/>
        </w:rPr>
        <w:t>（萧环建[2024]144号）</w:t>
      </w:r>
      <w:bookmarkEnd w:id="180"/>
    </w:p>
    <w:p w14:paraId="205025E7">
      <w:pPr>
        <w:numPr>
          <w:ilvl w:val="0"/>
          <w:numId w:val="0"/>
        </w:numPr>
        <w:spacing w:line="360" w:lineRule="auto"/>
        <w:ind w:firstLine="480"/>
        <w:outlineLvl w:val="9"/>
        <w:rPr>
          <w:rFonts w:hint="eastAsia" w:ascii="宋体" w:hAnsi="宋体" w:eastAsia="宋体" w:cs="宋体"/>
          <w:color w:val="auto"/>
          <w:sz w:val="24"/>
          <w:szCs w:val="24"/>
          <w:lang w:val="en-US" w:eastAsia="zh-CN"/>
        </w:rPr>
      </w:pPr>
      <w:r>
        <w:rPr>
          <w:rFonts w:hint="eastAsia" w:ascii="宋体" w:hAnsi="宋体" w:eastAsia="宋体" w:cs="宋体"/>
          <w:color w:val="auto"/>
          <w:lang w:val="en-US" w:eastAsia="zh-CN"/>
        </w:rPr>
        <w:t>具体见报告附件</w:t>
      </w:r>
    </w:p>
    <w:p w14:paraId="46996DCB">
      <w:pPr>
        <w:pStyle w:val="8"/>
        <w:rPr>
          <w:rFonts w:hint="default" w:asciiTheme="minorHAnsi" w:hAnsiTheme="minorHAnsi" w:eastAsiaTheme="minorEastAsia" w:cstheme="minorBidi"/>
          <w:b/>
          <w:kern w:val="2"/>
          <w:sz w:val="24"/>
          <w:szCs w:val="24"/>
          <w:lang w:val="en-US" w:eastAsia="zh-CN" w:bidi="ar-SA"/>
        </w:rPr>
      </w:pPr>
    </w:p>
    <w:p w14:paraId="4F4D8568">
      <w:pPr>
        <w:pStyle w:val="8"/>
        <w:rPr>
          <w:rFonts w:hint="default" w:asciiTheme="minorHAnsi" w:hAnsiTheme="minorHAnsi" w:eastAsiaTheme="minorEastAsia" w:cstheme="minorBidi"/>
          <w:b/>
          <w:kern w:val="2"/>
          <w:sz w:val="24"/>
          <w:szCs w:val="24"/>
          <w:lang w:val="en-US" w:eastAsia="zh-CN" w:bidi="ar-SA"/>
        </w:rPr>
      </w:pPr>
    </w:p>
    <w:p w14:paraId="1894A23B">
      <w:pPr>
        <w:pStyle w:val="8"/>
        <w:rPr>
          <w:rFonts w:hint="default" w:asciiTheme="minorHAnsi" w:hAnsiTheme="minorHAnsi" w:eastAsiaTheme="minorEastAsia" w:cstheme="minorBidi"/>
          <w:b/>
          <w:kern w:val="2"/>
          <w:sz w:val="24"/>
          <w:szCs w:val="24"/>
          <w:lang w:val="en-US" w:eastAsia="zh-CN" w:bidi="ar-SA"/>
        </w:rPr>
      </w:pPr>
    </w:p>
    <w:p w14:paraId="3912259D">
      <w:pPr>
        <w:pStyle w:val="8"/>
        <w:rPr>
          <w:rFonts w:hint="default" w:asciiTheme="minorHAnsi" w:hAnsiTheme="minorHAnsi" w:eastAsiaTheme="minorEastAsia" w:cstheme="minorBidi"/>
          <w:b/>
          <w:kern w:val="2"/>
          <w:sz w:val="24"/>
          <w:szCs w:val="24"/>
          <w:lang w:val="en-US" w:eastAsia="zh-CN" w:bidi="ar-SA"/>
        </w:rPr>
      </w:pPr>
    </w:p>
    <w:p w14:paraId="5E4E8176">
      <w:pPr>
        <w:pStyle w:val="8"/>
        <w:rPr>
          <w:rFonts w:hint="default" w:asciiTheme="minorHAnsi" w:hAnsiTheme="minorHAnsi" w:eastAsiaTheme="minorEastAsia" w:cstheme="minorBidi"/>
          <w:b/>
          <w:kern w:val="2"/>
          <w:sz w:val="24"/>
          <w:szCs w:val="24"/>
          <w:lang w:val="en-US" w:eastAsia="zh-CN" w:bidi="ar-SA"/>
        </w:rPr>
      </w:pPr>
    </w:p>
    <w:p w14:paraId="333613E3">
      <w:pPr>
        <w:pStyle w:val="8"/>
        <w:rPr>
          <w:rFonts w:hint="default" w:asciiTheme="minorHAnsi" w:hAnsiTheme="minorHAnsi" w:eastAsiaTheme="minorEastAsia" w:cstheme="minorBidi"/>
          <w:b/>
          <w:kern w:val="2"/>
          <w:sz w:val="24"/>
          <w:szCs w:val="24"/>
          <w:lang w:val="en-US" w:eastAsia="zh-CN" w:bidi="ar-SA"/>
        </w:rPr>
      </w:pPr>
    </w:p>
    <w:p w14:paraId="69E7A137">
      <w:pPr>
        <w:pStyle w:val="8"/>
        <w:rPr>
          <w:rFonts w:hint="default" w:asciiTheme="minorHAnsi" w:hAnsiTheme="minorHAnsi" w:eastAsiaTheme="minorEastAsia" w:cstheme="minorBidi"/>
          <w:b/>
          <w:kern w:val="2"/>
          <w:sz w:val="24"/>
          <w:szCs w:val="24"/>
          <w:lang w:val="en-US" w:eastAsia="zh-CN" w:bidi="ar-SA"/>
        </w:rPr>
      </w:pPr>
    </w:p>
    <w:p w14:paraId="2781DE02">
      <w:pPr>
        <w:pStyle w:val="8"/>
        <w:rPr>
          <w:rFonts w:hint="default" w:asciiTheme="minorHAnsi" w:hAnsiTheme="minorHAnsi" w:eastAsiaTheme="minorEastAsia" w:cstheme="minorBidi"/>
          <w:b/>
          <w:kern w:val="2"/>
          <w:sz w:val="24"/>
          <w:szCs w:val="24"/>
          <w:lang w:val="en-US" w:eastAsia="zh-CN" w:bidi="ar-SA"/>
        </w:rPr>
      </w:pPr>
    </w:p>
    <w:p w14:paraId="6718F2A7">
      <w:pPr>
        <w:pStyle w:val="8"/>
        <w:rPr>
          <w:rFonts w:hint="default" w:asciiTheme="minorHAnsi" w:hAnsiTheme="minorHAnsi" w:eastAsiaTheme="minorEastAsia" w:cstheme="minorBidi"/>
          <w:b/>
          <w:kern w:val="2"/>
          <w:sz w:val="24"/>
          <w:szCs w:val="24"/>
          <w:lang w:val="en-US" w:eastAsia="zh-CN" w:bidi="ar-SA"/>
        </w:rPr>
      </w:pPr>
    </w:p>
    <w:p w14:paraId="745BB665">
      <w:pPr>
        <w:pStyle w:val="8"/>
        <w:rPr>
          <w:rFonts w:hint="default" w:asciiTheme="minorHAnsi" w:hAnsiTheme="minorHAnsi" w:eastAsiaTheme="minorEastAsia" w:cstheme="minorBidi"/>
          <w:b/>
          <w:kern w:val="2"/>
          <w:sz w:val="24"/>
          <w:szCs w:val="24"/>
          <w:lang w:val="en-US" w:eastAsia="zh-CN" w:bidi="ar-SA"/>
        </w:rPr>
      </w:pPr>
    </w:p>
    <w:p w14:paraId="4ACCEB07">
      <w:pPr>
        <w:pStyle w:val="8"/>
        <w:rPr>
          <w:rFonts w:hint="default" w:asciiTheme="minorHAnsi" w:hAnsiTheme="minorHAnsi" w:eastAsiaTheme="minorEastAsia" w:cstheme="minorBidi"/>
          <w:b/>
          <w:kern w:val="2"/>
          <w:sz w:val="24"/>
          <w:szCs w:val="24"/>
          <w:lang w:val="en-US" w:eastAsia="zh-CN" w:bidi="ar-SA"/>
        </w:rPr>
      </w:pPr>
    </w:p>
    <w:p w14:paraId="2BD2AE75">
      <w:pPr>
        <w:pStyle w:val="8"/>
        <w:rPr>
          <w:rFonts w:hint="default" w:asciiTheme="minorHAnsi" w:hAnsiTheme="minorHAnsi" w:eastAsiaTheme="minorEastAsia" w:cstheme="minorBidi"/>
          <w:b/>
          <w:kern w:val="2"/>
          <w:sz w:val="24"/>
          <w:szCs w:val="24"/>
          <w:lang w:val="en-US" w:eastAsia="zh-CN" w:bidi="ar-SA"/>
        </w:rPr>
      </w:pPr>
    </w:p>
    <w:p w14:paraId="77EA21D9">
      <w:pPr>
        <w:pStyle w:val="8"/>
        <w:rPr>
          <w:rFonts w:hint="default" w:asciiTheme="minorHAnsi" w:hAnsiTheme="minorHAnsi" w:eastAsiaTheme="minorEastAsia" w:cstheme="minorBidi"/>
          <w:b/>
          <w:kern w:val="2"/>
          <w:sz w:val="24"/>
          <w:szCs w:val="24"/>
          <w:lang w:val="en-US" w:eastAsia="zh-CN" w:bidi="ar-SA"/>
        </w:rPr>
      </w:pPr>
    </w:p>
    <w:p w14:paraId="1DCF5F8E">
      <w:pPr>
        <w:pStyle w:val="8"/>
        <w:rPr>
          <w:rFonts w:hint="default" w:asciiTheme="minorHAnsi" w:hAnsiTheme="minorHAnsi" w:eastAsiaTheme="minorEastAsia" w:cstheme="minorBidi"/>
          <w:b/>
          <w:kern w:val="2"/>
          <w:sz w:val="24"/>
          <w:szCs w:val="24"/>
          <w:lang w:val="en-US" w:eastAsia="zh-CN" w:bidi="ar-SA"/>
        </w:rPr>
      </w:pPr>
    </w:p>
    <w:p w14:paraId="406B3DE6">
      <w:pPr>
        <w:pStyle w:val="4"/>
        <w:keepNext/>
        <w:keepLines/>
        <w:pageBreakBefore w:val="0"/>
        <w:widowControl w:val="0"/>
        <w:numPr>
          <w:ilvl w:val="0"/>
          <w:numId w:val="5"/>
        </w:numPr>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default" w:ascii="Times New Roman" w:hAnsi="Times New Roman" w:eastAsia="宋体" w:cs="Times New Roman"/>
          <w:b/>
          <w:bCs w:val="0"/>
          <w:sz w:val="30"/>
          <w:szCs w:val="30"/>
          <w:lang w:val="en-US" w:eastAsia="zh-CN"/>
        </w:rPr>
      </w:pPr>
      <w:bookmarkStart w:id="181" w:name="_Toc2676"/>
      <w:bookmarkStart w:id="182" w:name="_Toc28295"/>
      <w:bookmarkStart w:id="183" w:name="_Toc7878"/>
      <w:bookmarkStart w:id="184" w:name="_Toc9905"/>
      <w:bookmarkStart w:id="185" w:name="_Toc14306"/>
      <w:bookmarkStart w:id="186" w:name="_Toc11282"/>
      <w:bookmarkStart w:id="187" w:name="_Toc29162"/>
      <w:bookmarkStart w:id="188" w:name="_Toc13783"/>
      <w:bookmarkStart w:id="189" w:name="_Toc25215"/>
      <w:bookmarkStart w:id="190" w:name="_Toc30517"/>
      <w:bookmarkStart w:id="191" w:name="_Toc14431"/>
      <w:bookmarkStart w:id="192" w:name="_Toc24815"/>
      <w:bookmarkStart w:id="193" w:name="_Toc4018"/>
      <w:bookmarkStart w:id="194" w:name="_Toc9320"/>
      <w:bookmarkStart w:id="195" w:name="_Toc20780"/>
      <w:bookmarkStart w:id="196" w:name="_Toc13666"/>
      <w:bookmarkStart w:id="197" w:name="_Toc19603"/>
      <w:bookmarkStart w:id="198" w:name="_Toc14769"/>
      <w:bookmarkStart w:id="199" w:name="_Toc5004"/>
      <w:bookmarkStart w:id="200" w:name="_Toc16454"/>
      <w:bookmarkStart w:id="201" w:name="_Toc3337"/>
      <w:r>
        <w:rPr>
          <w:rFonts w:hint="default" w:ascii="Times New Roman" w:hAnsi="Times New Roman" w:eastAsia="宋体" w:cs="Times New Roman"/>
          <w:b/>
          <w:bCs w:val="0"/>
          <w:sz w:val="30"/>
          <w:szCs w:val="30"/>
          <w:lang w:val="en-US" w:eastAsia="zh-CN"/>
        </w:rPr>
        <w:t>验收执行标准</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6961DF3B">
      <w:pPr>
        <w:pStyle w:val="5"/>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sz w:val="24"/>
          <w:szCs w:val="24"/>
          <w:lang w:val="en-US" w:eastAsia="zh-CN"/>
        </w:rPr>
      </w:pPr>
      <w:bookmarkStart w:id="202" w:name="_Toc4832"/>
      <w:bookmarkStart w:id="203" w:name="_Toc3828"/>
      <w:r>
        <w:rPr>
          <w:rFonts w:hint="eastAsia" w:ascii="Times New Roman" w:hAnsi="Times New Roman" w:cs="Times New Roman"/>
          <w:b/>
          <w:bCs w:val="0"/>
          <w:sz w:val="24"/>
          <w:szCs w:val="24"/>
          <w:lang w:val="en-US" w:eastAsia="zh-CN"/>
        </w:rPr>
        <w:t>6</w:t>
      </w:r>
      <w:r>
        <w:rPr>
          <w:rFonts w:hint="default" w:ascii="Times New Roman" w:hAnsi="Times New Roman" w:eastAsia="宋体" w:cs="Times New Roman"/>
          <w:b/>
          <w:bCs w:val="0"/>
          <w:sz w:val="24"/>
          <w:szCs w:val="24"/>
          <w:lang w:val="en-US" w:eastAsia="zh-CN"/>
        </w:rPr>
        <w:t>.1废水</w:t>
      </w:r>
      <w:bookmarkEnd w:id="202"/>
      <w:bookmarkEnd w:id="203"/>
    </w:p>
    <w:p w14:paraId="4D42C2B9">
      <w:pPr>
        <w:adjustRightInd w:val="0"/>
        <w:snapToGrid w:val="0"/>
        <w:spacing w:line="360" w:lineRule="auto"/>
        <w:ind w:firstLine="480" w:firstLineChars="200"/>
        <w:rPr>
          <w:rFonts w:hint="default" w:ascii="宋体" w:hAnsi="宋体" w:eastAsia="宋体" w:cs="宋体"/>
          <w:sz w:val="24"/>
          <w:lang w:val="en-US" w:eastAsia="zh-CN"/>
        </w:rPr>
      </w:pPr>
      <w:bookmarkStart w:id="204" w:name="_Toc337"/>
      <w:bookmarkStart w:id="205" w:name="_Toc8589"/>
      <w:bookmarkStart w:id="206" w:name="_Toc452738474"/>
      <w:bookmarkStart w:id="207" w:name="_Toc22869"/>
      <w:r>
        <w:rPr>
          <w:rFonts w:hint="eastAsia" w:ascii="宋体" w:hAnsi="宋体" w:eastAsia="宋体" w:cs="宋体"/>
          <w:sz w:val="24"/>
          <w:lang w:val="en-US" w:eastAsia="zh-CN"/>
        </w:rPr>
        <w:t>企业厂区内不单独设置厕所、化粪池，员工使用村集中公共卫生间，由村委集中统一清运。</w:t>
      </w:r>
    </w:p>
    <w:p w14:paraId="564F8515">
      <w:pPr>
        <w:pStyle w:val="5"/>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6</w:t>
      </w:r>
      <w:r>
        <w:rPr>
          <w:rFonts w:hint="default" w:ascii="Times New Roman" w:hAnsi="Times New Roman" w:eastAsia="宋体" w:cs="Times New Roman"/>
          <w:b/>
          <w:bCs w:val="0"/>
          <w:sz w:val="24"/>
          <w:szCs w:val="24"/>
          <w:lang w:val="en-US" w:eastAsia="zh-CN"/>
        </w:rPr>
        <w:t>.2废气</w:t>
      </w:r>
      <w:bookmarkEnd w:id="204"/>
      <w:bookmarkEnd w:id="205"/>
    </w:p>
    <w:p w14:paraId="47DBAB27">
      <w:pPr>
        <w:snapToGrid w:val="0"/>
        <w:spacing w:line="360" w:lineRule="auto"/>
        <w:ind w:firstLine="480" w:firstLineChars="200"/>
        <w:rPr>
          <w:rFonts w:hint="eastAsia" w:ascii="宋体" w:hAnsi="宋体" w:eastAsia="宋体" w:cs="宋体"/>
          <w:sz w:val="24"/>
          <w:lang w:eastAsia="zh-CN"/>
        </w:rPr>
      </w:pPr>
      <w:bookmarkStart w:id="208" w:name="_Toc16033"/>
      <w:bookmarkStart w:id="209" w:name="_Toc22705"/>
      <w:bookmarkStart w:id="210" w:name="_Toc17144"/>
      <w:r>
        <w:rPr>
          <w:rFonts w:hint="eastAsia" w:ascii="宋体" w:hAnsi="宋体" w:eastAsia="宋体" w:cs="宋体"/>
          <w:sz w:val="24"/>
          <w:szCs w:val="24"/>
          <w:lang w:val="en-US" w:eastAsia="zh-CN"/>
        </w:rPr>
        <w:t>本项目废气排放执行</w:t>
      </w:r>
      <w:r>
        <w:rPr>
          <w:rFonts w:ascii="宋体" w:hAnsi="宋体" w:eastAsia="宋体" w:cs="宋体"/>
          <w:sz w:val="24"/>
          <w:szCs w:val="24"/>
        </w:rPr>
        <w:t>《合成树脂工业污染物排放标准》(GB31572-2015)中表5</w:t>
      </w:r>
      <w:r>
        <w:rPr>
          <w:rFonts w:hint="eastAsia" w:ascii="宋体" w:hAnsi="宋体" w:eastAsia="宋体" w:cs="宋体"/>
          <w:sz w:val="24"/>
          <w:szCs w:val="24"/>
          <w:lang w:val="en-US" w:eastAsia="zh-CN"/>
        </w:rPr>
        <w:t>和表9</w:t>
      </w:r>
      <w:r>
        <w:rPr>
          <w:rFonts w:ascii="宋体" w:hAnsi="宋体" w:eastAsia="宋体" w:cs="宋体"/>
          <w:sz w:val="24"/>
          <w:szCs w:val="24"/>
        </w:rPr>
        <w:t>规定的大气污染物特别排放限值要求</w:t>
      </w:r>
      <w:r>
        <w:rPr>
          <w:rFonts w:hint="eastAsia" w:ascii="宋体" w:hAnsi="宋体" w:eastAsia="宋体" w:cs="宋体"/>
          <w:sz w:val="24"/>
          <w:szCs w:val="24"/>
          <w:lang w:eastAsia="zh-CN"/>
        </w:rPr>
        <w:t>；</w:t>
      </w:r>
      <w:r>
        <w:rPr>
          <w:rFonts w:hint="eastAsia" w:ascii="宋体" w:hAnsi="宋体" w:eastAsia="宋体" w:cs="宋体"/>
          <w:sz w:val="24"/>
        </w:rPr>
        <w:t>厂区内VOCs无组织排放执行《挥发性有机物无组织排放控制标准》（GB37822-2019）中特别排放限值标准</w:t>
      </w:r>
      <w:r>
        <w:rPr>
          <w:rFonts w:hint="eastAsia" w:ascii="宋体" w:hAnsi="宋体" w:eastAsia="宋体" w:cs="宋体"/>
          <w:sz w:val="24"/>
          <w:szCs w:val="24"/>
          <w:lang w:eastAsia="zh-CN"/>
        </w:rPr>
        <w:t>。</w:t>
      </w:r>
      <w:r>
        <w:rPr>
          <w:rFonts w:hint="eastAsia" w:ascii="宋体" w:hAnsi="宋体" w:eastAsia="宋体" w:cs="宋体"/>
          <w:sz w:val="24"/>
          <w:szCs w:val="24"/>
        </w:rPr>
        <w:t>具体见表</w:t>
      </w:r>
      <w:r>
        <w:rPr>
          <w:rFonts w:hint="eastAsia" w:ascii="宋体" w:hAnsi="宋体" w:eastAsia="宋体" w:cs="宋体"/>
          <w:sz w:val="24"/>
          <w:szCs w:val="24"/>
          <w:lang w:val="en-US" w:eastAsia="zh-CN"/>
        </w:rPr>
        <w:t>6-1和表6-2。本项目臭气浓度排放执行《恶臭污染物排放标准》（GB14554-93）表 1、表 2限值。具</w:t>
      </w:r>
      <w:r>
        <w:rPr>
          <w:rFonts w:hint="eastAsia" w:ascii="宋体" w:hAnsi="宋体" w:eastAsia="宋体" w:cs="宋体"/>
          <w:sz w:val="24"/>
          <w:szCs w:val="24"/>
        </w:rPr>
        <w:t>体见表</w:t>
      </w:r>
      <w:r>
        <w:rPr>
          <w:rFonts w:hint="eastAsia" w:ascii="宋体" w:hAnsi="宋体" w:eastAsia="宋体" w:cs="宋体"/>
          <w:sz w:val="24"/>
          <w:szCs w:val="24"/>
          <w:lang w:val="en-US" w:eastAsia="zh-CN"/>
        </w:rPr>
        <w:t>6-3。</w:t>
      </w:r>
    </w:p>
    <w:p w14:paraId="12181C77">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表6-1《合成树脂工业污染物排放标准》GB31572-2015</w:t>
      </w:r>
    </w:p>
    <w:tbl>
      <w:tblPr>
        <w:tblStyle w:val="14"/>
        <w:tblW w:w="79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9"/>
        <w:gridCol w:w="1112"/>
        <w:gridCol w:w="1739"/>
        <w:gridCol w:w="1310"/>
        <w:gridCol w:w="1716"/>
      </w:tblGrid>
      <w:tr w14:paraId="72B9B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2119" w:type="dxa"/>
            <w:tcBorders>
              <w:tl2br w:val="nil"/>
              <w:tr2bl w:val="nil"/>
            </w:tcBorders>
            <w:noWrap w:val="0"/>
            <w:vAlign w:val="center"/>
          </w:tcPr>
          <w:p w14:paraId="4366E487">
            <w:pPr>
              <w:jc w:val="center"/>
              <w:rPr>
                <w:rFonts w:hint="eastAsia" w:ascii="宋体" w:hAnsi="宋体" w:eastAsia="宋体" w:cs="宋体"/>
                <w:sz w:val="21"/>
                <w:szCs w:val="21"/>
              </w:rPr>
            </w:pPr>
            <w:r>
              <w:rPr>
                <w:rFonts w:hint="eastAsia" w:ascii="宋体" w:hAnsi="宋体" w:eastAsia="宋体" w:cs="宋体"/>
                <w:sz w:val="21"/>
                <w:szCs w:val="21"/>
              </w:rPr>
              <w:t>污染物</w:t>
            </w:r>
          </w:p>
        </w:tc>
        <w:tc>
          <w:tcPr>
            <w:tcW w:w="1112" w:type="dxa"/>
            <w:tcBorders>
              <w:tl2br w:val="nil"/>
              <w:tr2bl w:val="nil"/>
            </w:tcBorders>
            <w:noWrap w:val="0"/>
            <w:vAlign w:val="center"/>
          </w:tcPr>
          <w:p w14:paraId="345FC235">
            <w:pPr>
              <w:jc w:val="center"/>
              <w:rPr>
                <w:rFonts w:hint="eastAsia" w:ascii="宋体" w:hAnsi="宋体" w:eastAsia="宋体" w:cs="宋体"/>
                <w:sz w:val="21"/>
                <w:szCs w:val="21"/>
              </w:rPr>
            </w:pPr>
            <w:r>
              <w:rPr>
                <w:rFonts w:hint="eastAsia" w:ascii="宋体" w:hAnsi="宋体" w:eastAsia="宋体" w:cs="宋体"/>
                <w:sz w:val="21"/>
                <w:szCs w:val="21"/>
              </w:rPr>
              <w:t>排放限值（mg/m</w:t>
            </w:r>
            <w:r>
              <w:rPr>
                <w:rFonts w:hint="eastAsia" w:ascii="宋体" w:hAnsi="宋体" w:eastAsia="宋体" w:cs="宋体"/>
                <w:sz w:val="21"/>
                <w:szCs w:val="21"/>
                <w:vertAlign w:val="superscript"/>
              </w:rPr>
              <w:t>3</w:t>
            </w:r>
            <w:r>
              <w:rPr>
                <w:rFonts w:hint="eastAsia" w:ascii="宋体" w:hAnsi="宋体" w:eastAsia="宋体" w:cs="宋体"/>
                <w:sz w:val="21"/>
                <w:szCs w:val="21"/>
              </w:rPr>
              <w:t>）</w:t>
            </w:r>
          </w:p>
        </w:tc>
        <w:tc>
          <w:tcPr>
            <w:tcW w:w="1739" w:type="dxa"/>
            <w:tcBorders>
              <w:tl2br w:val="nil"/>
              <w:tr2bl w:val="nil"/>
            </w:tcBorders>
            <w:noWrap w:val="0"/>
            <w:vAlign w:val="center"/>
          </w:tcPr>
          <w:p w14:paraId="39D1A0AF">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适用的合成树脂类型</w:t>
            </w:r>
          </w:p>
        </w:tc>
        <w:tc>
          <w:tcPr>
            <w:tcW w:w="1310" w:type="dxa"/>
            <w:tcBorders>
              <w:tl2br w:val="nil"/>
              <w:tr2bl w:val="nil"/>
            </w:tcBorders>
            <w:noWrap w:val="0"/>
            <w:vAlign w:val="center"/>
          </w:tcPr>
          <w:p w14:paraId="46CF785C">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污染物排放监控位置</w:t>
            </w:r>
          </w:p>
        </w:tc>
        <w:tc>
          <w:tcPr>
            <w:tcW w:w="1716" w:type="dxa"/>
            <w:tcBorders>
              <w:tl2br w:val="nil"/>
              <w:tr2bl w:val="nil"/>
            </w:tcBorders>
            <w:noWrap w:val="0"/>
            <w:vAlign w:val="center"/>
          </w:tcPr>
          <w:p w14:paraId="46C70B1C">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企业边界大气污染物浓度限值</w:t>
            </w:r>
          </w:p>
        </w:tc>
      </w:tr>
      <w:tr w14:paraId="6991E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119" w:type="dxa"/>
            <w:tcBorders>
              <w:tl2br w:val="nil"/>
              <w:tr2bl w:val="nil"/>
            </w:tcBorders>
            <w:noWrap w:val="0"/>
            <w:vAlign w:val="center"/>
          </w:tcPr>
          <w:p w14:paraId="2E961CA4">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非甲烷总烃</w:t>
            </w:r>
          </w:p>
        </w:tc>
        <w:tc>
          <w:tcPr>
            <w:tcW w:w="1112" w:type="dxa"/>
            <w:tcBorders>
              <w:tl2br w:val="nil"/>
              <w:tr2bl w:val="nil"/>
            </w:tcBorders>
            <w:noWrap w:val="0"/>
            <w:vAlign w:val="center"/>
          </w:tcPr>
          <w:p w14:paraId="128353CF">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60</w:t>
            </w:r>
          </w:p>
        </w:tc>
        <w:tc>
          <w:tcPr>
            <w:tcW w:w="1739" w:type="dxa"/>
            <w:vMerge w:val="restart"/>
            <w:tcBorders>
              <w:tl2br w:val="nil"/>
              <w:tr2bl w:val="nil"/>
            </w:tcBorders>
            <w:noWrap w:val="0"/>
            <w:vAlign w:val="center"/>
          </w:tcPr>
          <w:p w14:paraId="1BC7C3A9">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所有合成树脂</w:t>
            </w:r>
          </w:p>
        </w:tc>
        <w:tc>
          <w:tcPr>
            <w:tcW w:w="1310" w:type="dxa"/>
            <w:vMerge w:val="restart"/>
            <w:tcBorders>
              <w:tl2br w:val="nil"/>
              <w:tr2bl w:val="nil"/>
            </w:tcBorders>
            <w:noWrap w:val="0"/>
            <w:vAlign w:val="center"/>
          </w:tcPr>
          <w:p w14:paraId="63379EEB">
            <w:pPr>
              <w:spacing w:line="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车间或生产设施排气筒</w:t>
            </w:r>
          </w:p>
        </w:tc>
        <w:tc>
          <w:tcPr>
            <w:tcW w:w="1716" w:type="dxa"/>
            <w:tcBorders>
              <w:tl2br w:val="nil"/>
              <w:tr2bl w:val="nil"/>
            </w:tcBorders>
            <w:noWrap w:val="0"/>
            <w:vAlign w:val="center"/>
          </w:tcPr>
          <w:p w14:paraId="7C994FCF">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72C61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119" w:type="dxa"/>
            <w:tcBorders>
              <w:tl2br w:val="nil"/>
              <w:tr2bl w:val="nil"/>
            </w:tcBorders>
            <w:noWrap w:val="0"/>
            <w:vAlign w:val="center"/>
          </w:tcPr>
          <w:p w14:paraId="176B9E27">
            <w:pPr>
              <w:spacing w:line="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颗粒物</w:t>
            </w:r>
          </w:p>
        </w:tc>
        <w:tc>
          <w:tcPr>
            <w:tcW w:w="1112" w:type="dxa"/>
            <w:tcBorders>
              <w:tl2br w:val="nil"/>
              <w:tr2bl w:val="nil"/>
            </w:tcBorders>
            <w:noWrap w:val="0"/>
            <w:vAlign w:val="center"/>
          </w:tcPr>
          <w:p w14:paraId="5CAAF97B">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1739" w:type="dxa"/>
            <w:vMerge w:val="continue"/>
            <w:tcBorders>
              <w:tl2br w:val="nil"/>
              <w:tr2bl w:val="nil"/>
            </w:tcBorders>
            <w:noWrap w:val="0"/>
            <w:vAlign w:val="center"/>
          </w:tcPr>
          <w:p w14:paraId="5F8DB2E7">
            <w:pPr>
              <w:spacing w:line="0" w:lineRule="atLeast"/>
              <w:jc w:val="center"/>
              <w:rPr>
                <w:rFonts w:hint="eastAsia" w:ascii="宋体" w:hAnsi="宋体" w:eastAsia="宋体" w:cs="宋体"/>
                <w:sz w:val="21"/>
                <w:szCs w:val="21"/>
                <w:lang w:val="en-US" w:eastAsia="zh-CN"/>
              </w:rPr>
            </w:pPr>
          </w:p>
        </w:tc>
        <w:tc>
          <w:tcPr>
            <w:tcW w:w="1310" w:type="dxa"/>
            <w:vMerge w:val="continue"/>
            <w:tcBorders>
              <w:tl2br w:val="nil"/>
              <w:tr2bl w:val="nil"/>
            </w:tcBorders>
            <w:noWrap w:val="0"/>
            <w:vAlign w:val="center"/>
          </w:tcPr>
          <w:p w14:paraId="61FD154F">
            <w:pPr>
              <w:spacing w:line="0" w:lineRule="atLeast"/>
              <w:jc w:val="center"/>
              <w:rPr>
                <w:rFonts w:hint="eastAsia" w:ascii="宋体" w:hAnsi="宋体" w:eastAsia="宋体" w:cs="宋体"/>
                <w:sz w:val="21"/>
                <w:szCs w:val="21"/>
              </w:rPr>
            </w:pPr>
          </w:p>
        </w:tc>
        <w:tc>
          <w:tcPr>
            <w:tcW w:w="1716" w:type="dxa"/>
            <w:tcBorders>
              <w:tl2br w:val="nil"/>
              <w:tr2bl w:val="nil"/>
            </w:tcBorders>
            <w:noWrap w:val="0"/>
            <w:vAlign w:val="center"/>
          </w:tcPr>
          <w:p w14:paraId="1FDC931E">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r>
    </w:tbl>
    <w:p w14:paraId="627ED1E8">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表6-2厂区内VOCs无组织排放限值</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926"/>
        <w:gridCol w:w="1280"/>
        <w:gridCol w:w="2867"/>
        <w:gridCol w:w="1460"/>
      </w:tblGrid>
      <w:tr w14:paraId="7EDD1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27" w:type="dxa"/>
            <w:tcBorders>
              <w:tl2br w:val="nil"/>
              <w:tr2bl w:val="nil"/>
            </w:tcBorders>
            <w:noWrap w:val="0"/>
            <w:vAlign w:val="center"/>
          </w:tcPr>
          <w:p w14:paraId="58804276">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污染物项目</w:t>
            </w:r>
          </w:p>
        </w:tc>
        <w:tc>
          <w:tcPr>
            <w:tcW w:w="926" w:type="dxa"/>
            <w:tcBorders>
              <w:tl2br w:val="nil"/>
              <w:tr2bl w:val="nil"/>
            </w:tcBorders>
            <w:noWrap w:val="0"/>
            <w:vAlign w:val="center"/>
          </w:tcPr>
          <w:p w14:paraId="36CA3422">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排放限值</w:t>
            </w:r>
          </w:p>
        </w:tc>
        <w:tc>
          <w:tcPr>
            <w:tcW w:w="1280" w:type="dxa"/>
            <w:tcBorders>
              <w:tl2br w:val="nil"/>
              <w:tr2bl w:val="nil"/>
            </w:tcBorders>
            <w:noWrap w:val="0"/>
            <w:vAlign w:val="center"/>
          </w:tcPr>
          <w:p w14:paraId="2868C979">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特别排放限值</w:t>
            </w:r>
          </w:p>
        </w:tc>
        <w:tc>
          <w:tcPr>
            <w:tcW w:w="2867" w:type="dxa"/>
            <w:tcBorders>
              <w:tl2br w:val="nil"/>
              <w:tr2bl w:val="nil"/>
            </w:tcBorders>
            <w:noWrap w:val="0"/>
            <w:vAlign w:val="center"/>
          </w:tcPr>
          <w:p w14:paraId="112D2E93">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限值含义</w:t>
            </w:r>
          </w:p>
        </w:tc>
        <w:tc>
          <w:tcPr>
            <w:tcW w:w="1460" w:type="dxa"/>
            <w:tcBorders>
              <w:tl2br w:val="nil"/>
              <w:tr2bl w:val="nil"/>
            </w:tcBorders>
            <w:noWrap w:val="0"/>
            <w:vAlign w:val="center"/>
          </w:tcPr>
          <w:p w14:paraId="3158FBC4">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无组织排放监控位置</w:t>
            </w:r>
          </w:p>
        </w:tc>
      </w:tr>
      <w:tr w14:paraId="00DBE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227" w:type="dxa"/>
            <w:vMerge w:val="restart"/>
            <w:tcBorders>
              <w:tl2br w:val="nil"/>
              <w:tr2bl w:val="nil"/>
            </w:tcBorders>
            <w:noWrap w:val="0"/>
            <w:vAlign w:val="center"/>
          </w:tcPr>
          <w:p w14:paraId="214A601B">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NMHC</w:t>
            </w:r>
          </w:p>
        </w:tc>
        <w:tc>
          <w:tcPr>
            <w:tcW w:w="926" w:type="dxa"/>
            <w:tcBorders>
              <w:tl2br w:val="nil"/>
              <w:tr2bl w:val="nil"/>
            </w:tcBorders>
            <w:noWrap w:val="0"/>
            <w:vAlign w:val="center"/>
          </w:tcPr>
          <w:p w14:paraId="15441D75">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1280" w:type="dxa"/>
            <w:tcBorders>
              <w:tl2br w:val="nil"/>
              <w:tr2bl w:val="nil"/>
            </w:tcBorders>
            <w:noWrap w:val="0"/>
            <w:vAlign w:val="center"/>
          </w:tcPr>
          <w:p w14:paraId="2AF5CB04">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2867" w:type="dxa"/>
            <w:tcBorders>
              <w:tl2br w:val="nil"/>
              <w:tr2bl w:val="nil"/>
            </w:tcBorders>
            <w:noWrap w:val="0"/>
            <w:vAlign w:val="center"/>
          </w:tcPr>
          <w:p w14:paraId="62B29ACB">
            <w:pPr>
              <w:jc w:val="center"/>
              <w:rPr>
                <w:rFonts w:hint="default" w:ascii="宋体" w:hAnsi="宋体" w:eastAsia="宋体" w:cs="宋体"/>
                <w:sz w:val="21"/>
                <w:szCs w:val="21"/>
                <w:lang w:val="en-US" w:eastAsia="zh-CN"/>
              </w:rPr>
            </w:pPr>
            <w:r>
              <w:rPr>
                <w:rFonts w:hint="eastAsia" w:ascii="宋体" w:hAnsi="宋体" w:eastAsia="宋体" w:cs="宋体"/>
                <w:sz w:val="21"/>
                <w:szCs w:val="21"/>
                <w:lang w:eastAsia="zh-CN"/>
              </w:rPr>
              <w:t>监控点处</w:t>
            </w:r>
            <w:r>
              <w:rPr>
                <w:rFonts w:hint="eastAsia" w:ascii="宋体" w:hAnsi="宋体" w:eastAsia="宋体" w:cs="宋体"/>
                <w:sz w:val="21"/>
                <w:szCs w:val="21"/>
                <w:lang w:val="en-US" w:eastAsia="zh-CN"/>
              </w:rPr>
              <w:t>1h平均浓度值</w:t>
            </w:r>
          </w:p>
        </w:tc>
        <w:tc>
          <w:tcPr>
            <w:tcW w:w="1460" w:type="dxa"/>
            <w:vMerge w:val="restart"/>
            <w:tcBorders>
              <w:tl2br w:val="nil"/>
              <w:tr2bl w:val="nil"/>
            </w:tcBorders>
            <w:noWrap w:val="0"/>
            <w:vAlign w:val="center"/>
          </w:tcPr>
          <w:p w14:paraId="4CA7A39E">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在厂房外设置监控点</w:t>
            </w:r>
          </w:p>
        </w:tc>
      </w:tr>
      <w:tr w14:paraId="28899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227" w:type="dxa"/>
            <w:vMerge w:val="continue"/>
            <w:tcBorders>
              <w:tl2br w:val="nil"/>
              <w:tr2bl w:val="nil"/>
            </w:tcBorders>
            <w:noWrap w:val="0"/>
            <w:vAlign w:val="center"/>
          </w:tcPr>
          <w:p w14:paraId="21D961BD">
            <w:pPr>
              <w:spacing w:line="0" w:lineRule="atLeast"/>
              <w:ind w:firstLine="180" w:firstLineChars="100"/>
              <w:jc w:val="center"/>
              <w:rPr>
                <w:rFonts w:hint="eastAsia" w:ascii="宋体" w:hAnsi="宋体" w:cs="宋体"/>
                <w:sz w:val="18"/>
                <w:szCs w:val="18"/>
              </w:rPr>
            </w:pPr>
          </w:p>
        </w:tc>
        <w:tc>
          <w:tcPr>
            <w:tcW w:w="926" w:type="dxa"/>
            <w:tcBorders>
              <w:tl2br w:val="nil"/>
              <w:tr2bl w:val="nil"/>
            </w:tcBorders>
            <w:noWrap w:val="0"/>
            <w:vAlign w:val="center"/>
          </w:tcPr>
          <w:p w14:paraId="4F9CE9A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w:t>
            </w:r>
          </w:p>
        </w:tc>
        <w:tc>
          <w:tcPr>
            <w:tcW w:w="1280" w:type="dxa"/>
            <w:tcBorders>
              <w:tl2br w:val="nil"/>
              <w:tr2bl w:val="nil"/>
            </w:tcBorders>
            <w:noWrap w:val="0"/>
            <w:vAlign w:val="center"/>
          </w:tcPr>
          <w:p w14:paraId="1813B71B">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2867" w:type="dxa"/>
            <w:tcBorders>
              <w:tl2br w:val="nil"/>
              <w:tr2bl w:val="nil"/>
            </w:tcBorders>
            <w:noWrap w:val="0"/>
            <w:vAlign w:val="center"/>
          </w:tcPr>
          <w:p w14:paraId="775AB79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监控点处任意一次浓度值</w:t>
            </w:r>
          </w:p>
        </w:tc>
        <w:tc>
          <w:tcPr>
            <w:tcW w:w="1460" w:type="dxa"/>
            <w:vMerge w:val="continue"/>
            <w:tcBorders>
              <w:tl2br w:val="nil"/>
              <w:tr2bl w:val="nil"/>
            </w:tcBorders>
            <w:noWrap w:val="0"/>
            <w:vAlign w:val="center"/>
          </w:tcPr>
          <w:p w14:paraId="3BDBB63C">
            <w:pPr>
              <w:spacing w:line="240" w:lineRule="atLeast"/>
              <w:jc w:val="center"/>
              <w:rPr>
                <w:rFonts w:hint="eastAsia" w:ascii="宋体" w:hAnsi="宋体"/>
                <w:sz w:val="18"/>
                <w:szCs w:val="18"/>
              </w:rPr>
            </w:pPr>
          </w:p>
        </w:tc>
      </w:tr>
    </w:tbl>
    <w:p w14:paraId="7522A59E">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表6-3《恶臭污染物排放标准》(GB14554-93)</w:t>
      </w:r>
    </w:p>
    <w:tbl>
      <w:tblPr>
        <w:tblStyle w:val="18"/>
        <w:tblW w:w="745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7"/>
        <w:gridCol w:w="1647"/>
        <w:gridCol w:w="1820"/>
        <w:gridCol w:w="2745"/>
      </w:tblGrid>
      <w:tr w14:paraId="7AFA6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247" w:type="dxa"/>
            <w:vMerge w:val="restart"/>
            <w:tcBorders>
              <w:tl2br w:val="nil"/>
              <w:tr2bl w:val="nil"/>
            </w:tcBorders>
            <w:noWrap w:val="0"/>
            <w:vAlign w:val="center"/>
          </w:tcPr>
          <w:p w14:paraId="3551D0A6">
            <w:pPr>
              <w:spacing w:line="240" w:lineRule="atLeast"/>
              <w:jc w:val="center"/>
              <w:rPr>
                <w:rFonts w:hint="eastAsia" w:ascii="宋体" w:hAnsi="宋体" w:eastAsia="宋体" w:cs="宋体"/>
                <w:sz w:val="21"/>
                <w:szCs w:val="21"/>
                <w:lang w:eastAsia="zh-CN"/>
              </w:rPr>
            </w:pPr>
          </w:p>
          <w:p w14:paraId="6A8BE761">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污染物名称</w:t>
            </w:r>
          </w:p>
        </w:tc>
        <w:tc>
          <w:tcPr>
            <w:tcW w:w="3467" w:type="dxa"/>
            <w:gridSpan w:val="2"/>
            <w:tcBorders>
              <w:tl2br w:val="nil"/>
              <w:tr2bl w:val="nil"/>
            </w:tcBorders>
            <w:noWrap w:val="0"/>
            <w:vAlign w:val="center"/>
          </w:tcPr>
          <w:p w14:paraId="50090690">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排气筒</w:t>
            </w:r>
          </w:p>
        </w:tc>
        <w:tc>
          <w:tcPr>
            <w:tcW w:w="2745" w:type="dxa"/>
            <w:tcBorders>
              <w:tl2br w:val="nil"/>
              <w:tr2bl w:val="nil"/>
            </w:tcBorders>
            <w:noWrap w:val="0"/>
            <w:vAlign w:val="center"/>
          </w:tcPr>
          <w:p w14:paraId="2FC7DAA0">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厂界标准限值</w:t>
            </w:r>
          </w:p>
        </w:tc>
      </w:tr>
      <w:tr w14:paraId="76246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 w:hRule="atLeast"/>
          <w:jc w:val="center"/>
        </w:trPr>
        <w:tc>
          <w:tcPr>
            <w:tcW w:w="1247" w:type="dxa"/>
            <w:vMerge w:val="continue"/>
            <w:tcBorders>
              <w:tl2br w:val="nil"/>
              <w:tr2bl w:val="nil"/>
            </w:tcBorders>
            <w:noWrap w:val="0"/>
            <w:vAlign w:val="center"/>
          </w:tcPr>
          <w:p w14:paraId="28602E86">
            <w:pPr>
              <w:spacing w:line="240" w:lineRule="atLeast"/>
              <w:jc w:val="center"/>
              <w:rPr>
                <w:rFonts w:hint="eastAsia" w:ascii="宋体" w:hAnsi="宋体" w:eastAsia="宋体" w:cs="宋体"/>
                <w:sz w:val="21"/>
                <w:szCs w:val="21"/>
                <w:lang w:eastAsia="zh-CN"/>
              </w:rPr>
            </w:pPr>
          </w:p>
        </w:tc>
        <w:tc>
          <w:tcPr>
            <w:tcW w:w="1647" w:type="dxa"/>
            <w:tcBorders>
              <w:tl2br w:val="nil"/>
              <w:tr2bl w:val="nil"/>
            </w:tcBorders>
            <w:noWrap w:val="0"/>
            <w:vAlign w:val="center"/>
          </w:tcPr>
          <w:p w14:paraId="3D45AFAA">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排放量(kg/h)</w:t>
            </w:r>
          </w:p>
        </w:tc>
        <w:tc>
          <w:tcPr>
            <w:tcW w:w="1820" w:type="dxa"/>
            <w:tcBorders>
              <w:tl2br w:val="nil"/>
              <w:tr2bl w:val="nil"/>
            </w:tcBorders>
            <w:noWrap w:val="0"/>
            <w:vAlign w:val="center"/>
          </w:tcPr>
          <w:p w14:paraId="5DBB9849">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排气筒高度</w:t>
            </w:r>
          </w:p>
        </w:tc>
        <w:tc>
          <w:tcPr>
            <w:tcW w:w="2745" w:type="dxa"/>
            <w:tcBorders>
              <w:tl2br w:val="nil"/>
              <w:tr2bl w:val="nil"/>
            </w:tcBorders>
            <w:noWrap w:val="0"/>
            <w:vAlign w:val="center"/>
          </w:tcPr>
          <w:p w14:paraId="1857B274">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二级(mg/m</w:t>
            </w:r>
            <w:r>
              <w:rPr>
                <w:rFonts w:hint="eastAsia" w:ascii="宋体" w:hAnsi="宋体" w:eastAsia="宋体" w:cs="宋体"/>
                <w:sz w:val="21"/>
                <w:szCs w:val="21"/>
                <w:vertAlign w:val="superscript"/>
                <w:lang w:eastAsia="zh-CN"/>
              </w:rPr>
              <w:t>3</w:t>
            </w:r>
            <w:r>
              <w:rPr>
                <w:rFonts w:hint="eastAsia" w:ascii="宋体" w:hAnsi="宋体" w:eastAsia="宋体" w:cs="宋体"/>
                <w:sz w:val="21"/>
                <w:szCs w:val="21"/>
                <w:lang w:eastAsia="zh-CN"/>
              </w:rPr>
              <w:t>)</w:t>
            </w:r>
          </w:p>
        </w:tc>
      </w:tr>
      <w:tr w14:paraId="592E6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 w:hRule="atLeast"/>
          <w:jc w:val="center"/>
        </w:trPr>
        <w:tc>
          <w:tcPr>
            <w:tcW w:w="1247" w:type="dxa"/>
            <w:tcBorders>
              <w:tl2br w:val="nil"/>
              <w:tr2bl w:val="nil"/>
            </w:tcBorders>
            <w:noWrap w:val="0"/>
            <w:vAlign w:val="center"/>
          </w:tcPr>
          <w:p w14:paraId="6226AADF">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臭气浓度</w:t>
            </w:r>
          </w:p>
        </w:tc>
        <w:tc>
          <w:tcPr>
            <w:tcW w:w="1647" w:type="dxa"/>
            <w:tcBorders>
              <w:tl2br w:val="nil"/>
              <w:tr2bl w:val="nil"/>
            </w:tcBorders>
            <w:noWrap w:val="0"/>
            <w:vAlign w:val="center"/>
          </w:tcPr>
          <w:p w14:paraId="646EE081">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2000(无量纲)</w:t>
            </w:r>
          </w:p>
        </w:tc>
        <w:tc>
          <w:tcPr>
            <w:tcW w:w="1820" w:type="dxa"/>
            <w:tcBorders>
              <w:tl2br w:val="nil"/>
              <w:tr2bl w:val="nil"/>
            </w:tcBorders>
            <w:noWrap w:val="0"/>
            <w:vAlign w:val="center"/>
          </w:tcPr>
          <w:p w14:paraId="67875266">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15m</w:t>
            </w:r>
          </w:p>
        </w:tc>
        <w:tc>
          <w:tcPr>
            <w:tcW w:w="2745" w:type="dxa"/>
            <w:tcBorders>
              <w:tl2br w:val="nil"/>
              <w:tr2bl w:val="nil"/>
            </w:tcBorders>
            <w:noWrap w:val="0"/>
            <w:vAlign w:val="center"/>
          </w:tcPr>
          <w:p w14:paraId="5F46630A">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20(无量纲)</w:t>
            </w:r>
          </w:p>
        </w:tc>
      </w:tr>
    </w:tbl>
    <w:p w14:paraId="7E67CAC3">
      <w:pPr>
        <w:spacing w:line="360" w:lineRule="auto"/>
        <w:ind w:firstLine="464" w:firstLineChars="200"/>
        <w:jc w:val="left"/>
        <w:rPr>
          <w:rFonts w:hint="eastAsia" w:ascii="宋体" w:hAnsi="宋体" w:cs="宋体" w:eastAsiaTheme="minorEastAsia"/>
          <w:sz w:val="24"/>
          <w:szCs w:val="24"/>
          <w:lang w:val="en-US" w:eastAsia="zh-CN"/>
        </w:rPr>
      </w:pPr>
      <w:r>
        <w:rPr>
          <w:spacing w:val="-4"/>
        </w:rPr>
        <w:t>。</w:t>
      </w:r>
    </w:p>
    <w:p w14:paraId="117FBA0F">
      <w:pPr>
        <w:pStyle w:val="5"/>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6.3噪声</w:t>
      </w:r>
      <w:bookmarkEnd w:id="208"/>
      <w:bookmarkEnd w:id="209"/>
      <w:bookmarkEnd w:id="210"/>
    </w:p>
    <w:p w14:paraId="1CEEC00D">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本项目厂界噪声执行《工业企业厂界环境噪声排放标准》（GB12348-2008）中2类标准，具体标准值见表</w:t>
      </w:r>
      <w:bookmarkEnd w:id="206"/>
      <w:r>
        <w:rPr>
          <w:rFonts w:hint="eastAsia" w:ascii="Times New Roman" w:hAnsi="Times New Roman" w:eastAsia="宋体" w:cs="Times New Roman"/>
          <w:sz w:val="24"/>
          <w:szCs w:val="24"/>
          <w:lang w:val="en-US" w:eastAsia="zh-CN"/>
        </w:rPr>
        <w:t>6-4。</w:t>
      </w:r>
    </w:p>
    <w:p w14:paraId="6D71CC33">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宋体" w:cs="Times New Roman"/>
          <w:sz w:val="24"/>
          <w:szCs w:val="24"/>
          <w:lang w:val="en-US" w:eastAsia="zh-CN"/>
        </w:rPr>
      </w:pPr>
      <w:bookmarkStart w:id="211" w:name="_Toc452738475"/>
      <w:r>
        <w:rPr>
          <w:rFonts w:hint="eastAsia" w:ascii="Times New Roman" w:hAnsi="Times New Roman" w:eastAsia="宋体" w:cs="Times New Roman"/>
          <w:sz w:val="24"/>
          <w:szCs w:val="24"/>
          <w:lang w:val="en-US" w:eastAsia="zh-CN"/>
        </w:rPr>
        <w:t>表6-4《工业企业厂界环境噪声排放标准》（GB12348-2008）</w:t>
      </w:r>
    </w:p>
    <w:tbl>
      <w:tblPr>
        <w:tblStyle w:val="14"/>
        <w:tblpPr w:leftFromText="180" w:rightFromText="180" w:vertAnchor="text" w:horzAnchor="margin" w:tblpY="136"/>
        <w:tblW w:w="861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652"/>
        <w:gridCol w:w="2480"/>
        <w:gridCol w:w="2481"/>
      </w:tblGrid>
      <w:tr w14:paraId="3E605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trPr>
        <w:tc>
          <w:tcPr>
            <w:tcW w:w="3652" w:type="dxa"/>
            <w:vAlign w:val="center"/>
          </w:tcPr>
          <w:p w14:paraId="251A72F3">
            <w:pPr>
              <w:jc w:val="center"/>
              <w:rPr>
                <w:rFonts w:hint="default" w:ascii="Times New Roman" w:hAnsi="Times New Roman" w:eastAsia="宋体" w:cs="Times New Roman"/>
                <w:sz w:val="24"/>
                <w:szCs w:val="24"/>
                <w:lang w:val="en-US" w:eastAsia="zh-CN"/>
              </w:rPr>
            </w:pPr>
            <w:bookmarkStart w:id="212" w:name="_Toc452738477"/>
            <w:r>
              <w:rPr>
                <w:rFonts w:hint="eastAsia" w:ascii="Times New Roman" w:hAnsi="Times New Roman" w:eastAsia="宋体" w:cs="Times New Roman"/>
                <w:sz w:val="24"/>
                <w:szCs w:val="24"/>
                <w:lang w:val="en-US" w:eastAsia="zh-CN"/>
              </w:rPr>
              <w:t>声环境功能区类别</w:t>
            </w:r>
            <w:bookmarkEnd w:id="212"/>
          </w:p>
        </w:tc>
        <w:tc>
          <w:tcPr>
            <w:tcW w:w="2480" w:type="dxa"/>
            <w:vAlign w:val="center"/>
          </w:tcPr>
          <w:p w14:paraId="33B5AC6F">
            <w:pPr>
              <w:jc w:val="center"/>
              <w:rPr>
                <w:rFonts w:hint="default" w:ascii="Times New Roman" w:hAnsi="Times New Roman" w:eastAsia="宋体" w:cs="Times New Roman"/>
                <w:sz w:val="24"/>
                <w:szCs w:val="24"/>
                <w:lang w:val="en-US" w:eastAsia="zh-CN"/>
              </w:rPr>
            </w:pPr>
            <w:bookmarkStart w:id="213" w:name="_Toc452738478"/>
            <w:r>
              <w:rPr>
                <w:rFonts w:hint="eastAsia" w:ascii="Times New Roman" w:hAnsi="Times New Roman" w:eastAsia="宋体" w:cs="Times New Roman"/>
                <w:sz w:val="24"/>
                <w:szCs w:val="24"/>
                <w:lang w:val="en-US" w:eastAsia="zh-CN"/>
              </w:rPr>
              <w:t>昼间</w:t>
            </w:r>
            <w:bookmarkEnd w:id="213"/>
          </w:p>
        </w:tc>
        <w:tc>
          <w:tcPr>
            <w:tcW w:w="2481" w:type="dxa"/>
            <w:vAlign w:val="center"/>
          </w:tcPr>
          <w:p w14:paraId="6FF2C6C0">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夜间</w:t>
            </w:r>
          </w:p>
        </w:tc>
      </w:tr>
      <w:tr w14:paraId="5D8C0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9" w:hRule="atLeast"/>
        </w:trPr>
        <w:tc>
          <w:tcPr>
            <w:tcW w:w="3652" w:type="dxa"/>
            <w:vAlign w:val="center"/>
          </w:tcPr>
          <w:p w14:paraId="7CA9167A">
            <w:pPr>
              <w:jc w:val="center"/>
              <w:rPr>
                <w:rFonts w:hint="default" w:ascii="Times New Roman" w:hAnsi="Times New Roman" w:eastAsia="宋体" w:cs="Times New Roman"/>
                <w:sz w:val="24"/>
                <w:szCs w:val="24"/>
                <w:lang w:val="en-US" w:eastAsia="zh-CN"/>
              </w:rPr>
            </w:pPr>
            <w:bookmarkStart w:id="214" w:name="_Toc452738480"/>
            <w:r>
              <w:rPr>
                <w:rFonts w:hint="eastAsia" w:ascii="Times New Roman" w:hAnsi="Times New Roman" w:eastAsia="宋体" w:cs="Times New Roman"/>
                <w:sz w:val="24"/>
                <w:szCs w:val="24"/>
                <w:lang w:val="en-US" w:eastAsia="zh-CN"/>
              </w:rPr>
              <w:t>2类</w:t>
            </w:r>
            <w:bookmarkEnd w:id="214"/>
          </w:p>
        </w:tc>
        <w:tc>
          <w:tcPr>
            <w:tcW w:w="2480" w:type="dxa"/>
            <w:vAlign w:val="center"/>
          </w:tcPr>
          <w:p w14:paraId="30D9E575">
            <w:pPr>
              <w:jc w:val="center"/>
              <w:rPr>
                <w:rFonts w:hint="default" w:ascii="Times New Roman" w:hAnsi="Times New Roman" w:eastAsia="宋体" w:cs="Times New Roman"/>
                <w:sz w:val="24"/>
                <w:szCs w:val="24"/>
                <w:lang w:val="en-US" w:eastAsia="zh-CN"/>
              </w:rPr>
            </w:pPr>
            <w:bookmarkStart w:id="215" w:name="_Toc452738481"/>
            <w:r>
              <w:rPr>
                <w:rFonts w:hint="eastAsia" w:ascii="Times New Roman" w:hAnsi="Times New Roman" w:eastAsia="宋体" w:cs="Times New Roman"/>
                <w:sz w:val="24"/>
                <w:szCs w:val="24"/>
                <w:lang w:val="en-US" w:eastAsia="zh-CN"/>
              </w:rPr>
              <w:t>60</w:t>
            </w:r>
            <w:bookmarkEnd w:id="215"/>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B（A）</w:t>
            </w:r>
          </w:p>
        </w:tc>
        <w:tc>
          <w:tcPr>
            <w:tcW w:w="2481" w:type="dxa"/>
            <w:vAlign w:val="center"/>
          </w:tcPr>
          <w:p w14:paraId="19A1B0B3">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50</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B（A）</w:t>
            </w:r>
          </w:p>
        </w:tc>
      </w:tr>
      <w:bookmarkEnd w:id="211"/>
    </w:tbl>
    <w:p w14:paraId="7CF4FE16">
      <w:pPr>
        <w:pStyle w:val="5"/>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Times New Roman" w:hAnsi="Times New Roman" w:eastAsia="宋体" w:cs="Times New Roman"/>
          <w:b/>
          <w:bCs w:val="0"/>
          <w:sz w:val="24"/>
          <w:szCs w:val="24"/>
          <w:lang w:val="en-US" w:eastAsia="zh-CN"/>
        </w:rPr>
      </w:pPr>
      <w:bookmarkStart w:id="216" w:name="_Toc452744476"/>
      <w:bookmarkStart w:id="217" w:name="_Toc452738483"/>
      <w:bookmarkStart w:id="218" w:name="_Toc477533735"/>
      <w:bookmarkStart w:id="219" w:name="_Toc1037"/>
      <w:bookmarkStart w:id="220" w:name="_Toc5180"/>
      <w:r>
        <w:rPr>
          <w:rFonts w:hint="eastAsia" w:ascii="Times New Roman" w:hAnsi="Times New Roman" w:eastAsia="宋体" w:cs="Times New Roman"/>
          <w:b/>
          <w:bCs w:val="0"/>
          <w:sz w:val="24"/>
          <w:szCs w:val="24"/>
          <w:lang w:val="en-US" w:eastAsia="zh-CN"/>
        </w:rPr>
        <w:t>6.4固废</w:t>
      </w:r>
      <w:bookmarkEnd w:id="216"/>
      <w:bookmarkEnd w:id="217"/>
      <w:bookmarkEnd w:id="218"/>
      <w:bookmarkEnd w:id="219"/>
      <w:bookmarkEnd w:id="220"/>
    </w:p>
    <w:p w14:paraId="3FA09298">
      <w:pPr>
        <w:spacing w:line="360" w:lineRule="auto"/>
        <w:ind w:firstLine="480"/>
        <w:rPr>
          <w:szCs w:val="21"/>
        </w:rPr>
      </w:pPr>
      <w:r>
        <w:rPr>
          <w:rFonts w:hint="eastAsia"/>
          <w:szCs w:val="21"/>
        </w:rPr>
        <w:t>本项目固废已落实环评要求处置措施，根据环评报告不会造成二次污染，本次不做检测。</w:t>
      </w:r>
    </w:p>
    <w:p w14:paraId="75B26957">
      <w:pPr>
        <w:pStyle w:val="5"/>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bCs w:val="0"/>
          <w:sz w:val="24"/>
          <w:szCs w:val="24"/>
          <w:lang w:val="en-US" w:eastAsia="zh-CN"/>
        </w:rPr>
      </w:pPr>
      <w:bookmarkStart w:id="221" w:name="_Toc31863"/>
      <w:r>
        <w:rPr>
          <w:rFonts w:hint="eastAsia" w:ascii="Times New Roman" w:hAnsi="Times New Roman" w:eastAsia="宋体" w:cs="Times New Roman"/>
          <w:b/>
          <w:bCs w:val="0"/>
          <w:sz w:val="24"/>
          <w:szCs w:val="24"/>
          <w:lang w:val="en-US" w:eastAsia="zh-CN"/>
        </w:rPr>
        <w:t>6.</w:t>
      </w:r>
      <w:bookmarkEnd w:id="207"/>
      <w:bookmarkStart w:id="222" w:name="_Toc30318"/>
      <w:r>
        <w:rPr>
          <w:rFonts w:hint="eastAsia" w:ascii="Times New Roman" w:hAnsi="Times New Roman" w:eastAsia="宋体" w:cs="Times New Roman"/>
          <w:b/>
          <w:bCs w:val="0"/>
          <w:sz w:val="24"/>
          <w:szCs w:val="24"/>
          <w:lang w:val="en-US" w:eastAsia="zh-CN"/>
        </w:rPr>
        <w:t>5</w:t>
      </w:r>
      <w:r>
        <w:rPr>
          <w:rFonts w:hint="default" w:ascii="Times New Roman" w:hAnsi="Times New Roman" w:eastAsia="宋体" w:cs="Times New Roman"/>
          <w:b/>
          <w:bCs w:val="0"/>
          <w:sz w:val="24"/>
          <w:szCs w:val="24"/>
          <w:lang w:val="en-US" w:eastAsia="zh-CN"/>
        </w:rPr>
        <w:t>总量控制指标</w:t>
      </w:r>
      <w:bookmarkEnd w:id="221"/>
      <w:bookmarkEnd w:id="222"/>
    </w:p>
    <w:p w14:paraId="5A299C58">
      <w:pPr>
        <w:spacing w:line="36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表6-5</w:t>
      </w:r>
      <w:r>
        <w:rPr>
          <w:rFonts w:hint="default" w:ascii="Times New Roman" w:hAnsi="Times New Roman" w:eastAsia="宋体" w:cs="Times New Roman"/>
          <w:sz w:val="24"/>
          <w:szCs w:val="24"/>
        </w:rPr>
        <w:t>总量控制指标</w:t>
      </w:r>
      <w:r>
        <w:rPr>
          <w:rFonts w:hint="eastAsia" w:ascii="Times New Roman" w:hAnsi="Times New Roman" w:eastAsia="宋体" w:cs="Times New Roman"/>
          <w:sz w:val="24"/>
          <w:szCs w:val="24"/>
          <w:lang w:val="en-US" w:eastAsia="zh-CN"/>
        </w:rPr>
        <w:t>单位：t/a</w:t>
      </w:r>
    </w:p>
    <w:tbl>
      <w:tblPr>
        <w:tblStyle w:val="14"/>
        <w:tblW w:w="84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1095"/>
        <w:gridCol w:w="1440"/>
        <w:gridCol w:w="4150"/>
      </w:tblGrid>
      <w:tr w14:paraId="7B061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786" w:type="dxa"/>
            <w:vAlign w:val="center"/>
          </w:tcPr>
          <w:p w14:paraId="70C6737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控制项目</w:t>
            </w:r>
          </w:p>
        </w:tc>
        <w:tc>
          <w:tcPr>
            <w:tcW w:w="1095" w:type="dxa"/>
            <w:vAlign w:val="center"/>
          </w:tcPr>
          <w:p w14:paraId="7157F87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批准值</w:t>
            </w:r>
          </w:p>
        </w:tc>
        <w:tc>
          <w:tcPr>
            <w:tcW w:w="1440" w:type="dxa"/>
            <w:vAlign w:val="center"/>
          </w:tcPr>
          <w:p w14:paraId="0CD4DBA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实际排放量</w:t>
            </w:r>
          </w:p>
        </w:tc>
        <w:tc>
          <w:tcPr>
            <w:tcW w:w="4150" w:type="dxa"/>
            <w:vAlign w:val="center"/>
          </w:tcPr>
          <w:p w14:paraId="62314413">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计算公式</w:t>
            </w:r>
          </w:p>
        </w:tc>
      </w:tr>
      <w:tr w14:paraId="66C4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6" w:type="dxa"/>
            <w:vAlign w:val="center"/>
          </w:tcPr>
          <w:p w14:paraId="4E7E8DE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排水量(t/</w:t>
            </w:r>
            <w:r>
              <w:rPr>
                <w:rFonts w:hint="default" w:ascii="Times New Roman" w:hAnsi="Times New Roman" w:eastAsia="宋体" w:cs="Times New Roman"/>
                <w:color w:val="auto"/>
                <w:sz w:val="21"/>
                <w:szCs w:val="21"/>
                <w:lang w:val="en-US" w:eastAsia="zh-CN"/>
              </w:rPr>
              <w:t>a</w:t>
            </w:r>
            <w:r>
              <w:rPr>
                <w:rFonts w:hint="default" w:ascii="Times New Roman" w:hAnsi="Times New Roman" w:eastAsia="宋体" w:cs="Times New Roman"/>
                <w:color w:val="auto"/>
                <w:sz w:val="21"/>
                <w:szCs w:val="21"/>
              </w:rPr>
              <w:t>)</w:t>
            </w:r>
          </w:p>
        </w:tc>
        <w:tc>
          <w:tcPr>
            <w:tcW w:w="1095" w:type="dxa"/>
            <w:vAlign w:val="center"/>
          </w:tcPr>
          <w:p w14:paraId="6CF7F044">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270</w:t>
            </w:r>
          </w:p>
        </w:tc>
        <w:tc>
          <w:tcPr>
            <w:tcW w:w="1440" w:type="dxa"/>
            <w:vAlign w:val="center"/>
          </w:tcPr>
          <w:p w14:paraId="45250E9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202.5</w:t>
            </w:r>
          </w:p>
        </w:tc>
        <w:tc>
          <w:tcPr>
            <w:tcW w:w="4150" w:type="dxa"/>
            <w:vAlign w:val="center"/>
          </w:tcPr>
          <w:p w14:paraId="07010AE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776DA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6" w:type="dxa"/>
            <w:vAlign w:val="center"/>
          </w:tcPr>
          <w:p w14:paraId="0A5389C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化学需氧量(t/a)</w:t>
            </w:r>
          </w:p>
        </w:tc>
        <w:tc>
          <w:tcPr>
            <w:tcW w:w="1095" w:type="dxa"/>
            <w:vAlign w:val="top"/>
          </w:tcPr>
          <w:p w14:paraId="70D5CF5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0.0108</w:t>
            </w:r>
          </w:p>
        </w:tc>
        <w:tc>
          <w:tcPr>
            <w:tcW w:w="1440" w:type="dxa"/>
            <w:vAlign w:val="center"/>
          </w:tcPr>
          <w:p w14:paraId="096187F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0.0081</w:t>
            </w:r>
          </w:p>
        </w:tc>
        <w:tc>
          <w:tcPr>
            <w:tcW w:w="4150" w:type="dxa"/>
            <w:vAlign w:val="center"/>
          </w:tcPr>
          <w:p w14:paraId="527B30D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排放总量=</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mg/L×</w:t>
            </w:r>
            <w:r>
              <w:rPr>
                <w:rFonts w:hint="eastAsia" w:ascii="Times New Roman" w:hAnsi="Times New Roman" w:eastAsia="宋体" w:cs="Times New Roman"/>
                <w:color w:val="auto"/>
                <w:sz w:val="21"/>
                <w:szCs w:val="21"/>
                <w:lang w:val="en-US" w:eastAsia="zh-CN"/>
              </w:rPr>
              <w:t>202.5</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-6</w:t>
            </w:r>
          </w:p>
        </w:tc>
      </w:tr>
      <w:tr w14:paraId="5E64C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6" w:type="dxa"/>
            <w:vAlign w:val="center"/>
          </w:tcPr>
          <w:p w14:paraId="299EDE4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氨氮(t/a)</w:t>
            </w:r>
          </w:p>
        </w:tc>
        <w:tc>
          <w:tcPr>
            <w:tcW w:w="1095" w:type="dxa"/>
            <w:vAlign w:val="top"/>
          </w:tcPr>
          <w:p w14:paraId="2F84029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0.0006</w:t>
            </w:r>
          </w:p>
        </w:tc>
        <w:tc>
          <w:tcPr>
            <w:tcW w:w="1440" w:type="dxa"/>
            <w:vAlign w:val="center"/>
          </w:tcPr>
          <w:p w14:paraId="18EA11B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eastAsia" w:ascii="Times New Roman" w:hAnsi="Times New Roman" w:eastAsia="宋体" w:cs="Times New Roman"/>
                <w:color w:val="auto"/>
                <w:sz w:val="21"/>
                <w:szCs w:val="21"/>
                <w:lang w:val="en-US" w:eastAsia="zh-CN"/>
              </w:rPr>
              <w:t>004</w:t>
            </w:r>
          </w:p>
        </w:tc>
        <w:tc>
          <w:tcPr>
            <w:tcW w:w="4150" w:type="dxa"/>
            <w:vAlign w:val="center"/>
          </w:tcPr>
          <w:p w14:paraId="4F2D3F0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排放总量=</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mg/L×</w:t>
            </w:r>
            <w:r>
              <w:rPr>
                <w:rFonts w:hint="eastAsia" w:ascii="Times New Roman" w:hAnsi="Times New Roman" w:eastAsia="宋体" w:cs="Times New Roman"/>
                <w:color w:val="auto"/>
                <w:sz w:val="21"/>
                <w:szCs w:val="21"/>
                <w:lang w:val="en-US" w:eastAsia="zh-CN"/>
              </w:rPr>
              <w:t>202.5</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-6</w:t>
            </w:r>
          </w:p>
        </w:tc>
      </w:tr>
      <w:tr w14:paraId="77408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6" w:type="dxa"/>
            <w:vAlign w:val="center"/>
          </w:tcPr>
          <w:p w14:paraId="107E3E3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VOCs</w:t>
            </w:r>
          </w:p>
        </w:tc>
        <w:tc>
          <w:tcPr>
            <w:tcW w:w="1095" w:type="dxa"/>
            <w:vAlign w:val="center"/>
          </w:tcPr>
          <w:p w14:paraId="3F942D3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0.0934</w:t>
            </w:r>
          </w:p>
        </w:tc>
        <w:tc>
          <w:tcPr>
            <w:tcW w:w="1440" w:type="dxa"/>
            <w:vAlign w:val="center"/>
          </w:tcPr>
          <w:p w14:paraId="08A0A94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0.057</w:t>
            </w:r>
          </w:p>
        </w:tc>
        <w:tc>
          <w:tcPr>
            <w:tcW w:w="4150" w:type="dxa"/>
            <w:vAlign w:val="center"/>
          </w:tcPr>
          <w:p w14:paraId="0C4485A2">
            <w:pPr>
              <w:ind w:firstLine="840" w:firstLineChars="400"/>
              <w:jc w:val="left"/>
              <w:rPr>
                <w:rFonts w:hint="default"/>
                <w:lang w:val="en-US"/>
              </w:rPr>
            </w:pPr>
            <w:r>
              <w:rPr>
                <w:rFonts w:hint="default" w:ascii="Times New Roman" w:hAnsi="Times New Roman" w:eastAsia="宋体" w:cs="Times New Roman"/>
                <w:color w:val="auto"/>
                <w:sz w:val="21"/>
                <w:szCs w:val="21"/>
              </w:rPr>
              <w:t>排放总量=</w:t>
            </w:r>
            <w:r>
              <w:rPr>
                <w:rFonts w:hint="eastAsia" w:ascii="Times New Roman" w:hAnsi="Times New Roman" w:eastAsia="宋体" w:cs="Times New Roman"/>
                <w:color w:val="auto"/>
                <w:sz w:val="21"/>
                <w:szCs w:val="21"/>
                <w:lang w:val="en-US" w:eastAsia="zh-CN"/>
              </w:rPr>
              <w:t>0.024</w:t>
            </w:r>
            <w:r>
              <w:rPr>
                <w:rFonts w:hint="default" w:ascii="Calibri" w:hAnsi="Calibri" w:eastAsia="宋体" w:cs="Calibri"/>
                <w:color w:val="auto"/>
                <w:sz w:val="21"/>
                <w:szCs w:val="21"/>
                <w:vertAlign w:val="superscript"/>
                <w:lang w:val="en-US" w:eastAsia="zh-CN"/>
              </w:rPr>
              <w:t>①</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2400=0.057</w:t>
            </w:r>
          </w:p>
        </w:tc>
      </w:tr>
    </w:tbl>
    <w:p w14:paraId="35BBB21D">
      <w:pPr>
        <w:pStyle w:val="2"/>
        <w:rPr>
          <w:rFonts w:hint="default"/>
          <w:lang w:val="en-US" w:eastAsia="zh-CN"/>
        </w:rPr>
      </w:pPr>
      <w:r>
        <w:rPr>
          <w:rFonts w:hint="eastAsia"/>
          <w:lang w:val="en-US" w:eastAsia="zh-CN"/>
        </w:rPr>
        <w:t>注</w:t>
      </w:r>
      <w:r>
        <w:rPr>
          <w:rFonts w:hint="default" w:ascii="Calibri" w:hAnsi="Calibri" w:eastAsia="宋体" w:cs="Calibri"/>
          <w:color w:val="auto"/>
          <w:sz w:val="21"/>
          <w:szCs w:val="21"/>
          <w:vertAlign w:val="superscript"/>
          <w:lang w:val="en-US" w:eastAsia="zh-CN"/>
        </w:rPr>
        <w:t>①</w:t>
      </w:r>
      <w:r>
        <w:rPr>
          <w:rFonts w:hint="eastAsia" w:ascii="Calibri" w:hAnsi="Calibri" w:eastAsia="宋体" w:cs="Calibri"/>
          <w:color w:val="auto"/>
          <w:sz w:val="21"/>
          <w:szCs w:val="21"/>
          <w:vertAlign w:val="baseline"/>
          <w:lang w:val="en-US" w:eastAsia="zh-CN"/>
        </w:rPr>
        <w:t>：来源于检测报告平均排放速率。</w:t>
      </w:r>
    </w:p>
    <w:p w14:paraId="4194C3D3">
      <w:pPr>
        <w:pStyle w:val="2"/>
        <w:rPr>
          <w:rFonts w:hint="default"/>
          <w:lang w:val="en-US" w:eastAsia="zh-CN"/>
        </w:rPr>
      </w:pPr>
    </w:p>
    <w:p w14:paraId="31CD029B">
      <w:pPr>
        <w:pStyle w:val="8"/>
        <w:rPr>
          <w:rFonts w:hint="default" w:asciiTheme="minorHAnsi" w:hAnsiTheme="minorHAnsi" w:eastAsiaTheme="minorEastAsia" w:cstheme="minorBidi"/>
          <w:b/>
          <w:kern w:val="2"/>
          <w:sz w:val="24"/>
          <w:szCs w:val="24"/>
          <w:lang w:val="en-US" w:eastAsia="zh-CN" w:bidi="ar-SA"/>
        </w:rPr>
      </w:pPr>
    </w:p>
    <w:p w14:paraId="66008529">
      <w:pPr>
        <w:pStyle w:val="8"/>
        <w:rPr>
          <w:rFonts w:hint="default" w:asciiTheme="minorHAnsi" w:hAnsiTheme="minorHAnsi" w:eastAsiaTheme="minorEastAsia" w:cstheme="minorBidi"/>
          <w:b/>
          <w:kern w:val="2"/>
          <w:sz w:val="24"/>
          <w:szCs w:val="24"/>
          <w:lang w:val="en-US" w:eastAsia="zh-CN" w:bidi="ar-SA"/>
        </w:rPr>
      </w:pPr>
    </w:p>
    <w:p w14:paraId="2667A42D">
      <w:pPr>
        <w:pStyle w:val="8"/>
        <w:rPr>
          <w:rFonts w:hint="default" w:asciiTheme="minorHAnsi" w:hAnsiTheme="minorHAnsi" w:eastAsiaTheme="minorEastAsia" w:cstheme="minorBidi"/>
          <w:b/>
          <w:kern w:val="2"/>
          <w:sz w:val="24"/>
          <w:szCs w:val="24"/>
          <w:lang w:val="en-US" w:eastAsia="zh-CN" w:bidi="ar-SA"/>
        </w:rPr>
      </w:pPr>
    </w:p>
    <w:p w14:paraId="3324C54C">
      <w:pPr>
        <w:pStyle w:val="8"/>
        <w:rPr>
          <w:rFonts w:hint="default" w:asciiTheme="minorHAnsi" w:hAnsiTheme="minorHAnsi" w:eastAsiaTheme="minorEastAsia" w:cstheme="minorBidi"/>
          <w:b/>
          <w:kern w:val="2"/>
          <w:sz w:val="24"/>
          <w:szCs w:val="24"/>
          <w:lang w:val="en-US" w:eastAsia="zh-CN" w:bidi="ar-SA"/>
        </w:rPr>
      </w:pPr>
    </w:p>
    <w:p w14:paraId="78A666AE">
      <w:pPr>
        <w:pStyle w:val="8"/>
        <w:rPr>
          <w:rFonts w:hint="default" w:asciiTheme="minorHAnsi" w:hAnsiTheme="minorHAnsi" w:eastAsiaTheme="minorEastAsia" w:cstheme="minorBidi"/>
          <w:b/>
          <w:kern w:val="2"/>
          <w:sz w:val="24"/>
          <w:szCs w:val="24"/>
          <w:lang w:val="en-US" w:eastAsia="zh-CN" w:bidi="ar-SA"/>
        </w:rPr>
      </w:pPr>
    </w:p>
    <w:p w14:paraId="76B4EF69">
      <w:pPr>
        <w:pStyle w:val="8"/>
        <w:rPr>
          <w:rFonts w:hint="default" w:asciiTheme="minorHAnsi" w:hAnsiTheme="minorHAnsi" w:eastAsiaTheme="minorEastAsia" w:cstheme="minorBidi"/>
          <w:b/>
          <w:kern w:val="2"/>
          <w:sz w:val="24"/>
          <w:szCs w:val="24"/>
          <w:lang w:val="en-US" w:eastAsia="zh-CN" w:bidi="ar-SA"/>
        </w:rPr>
      </w:pPr>
    </w:p>
    <w:p w14:paraId="7B84F5ED">
      <w:pPr>
        <w:pStyle w:val="8"/>
        <w:rPr>
          <w:rFonts w:hint="default" w:asciiTheme="minorHAnsi" w:hAnsiTheme="minorHAnsi" w:eastAsiaTheme="minorEastAsia" w:cstheme="minorBidi"/>
          <w:b/>
          <w:kern w:val="2"/>
          <w:sz w:val="24"/>
          <w:szCs w:val="24"/>
          <w:lang w:val="en-US" w:eastAsia="zh-CN" w:bidi="ar-SA"/>
        </w:rPr>
      </w:pPr>
    </w:p>
    <w:p w14:paraId="5372BB05">
      <w:pPr>
        <w:pStyle w:val="8"/>
        <w:rPr>
          <w:rFonts w:hint="default" w:asciiTheme="minorHAnsi" w:hAnsiTheme="minorHAnsi" w:eastAsiaTheme="minorEastAsia" w:cstheme="minorBidi"/>
          <w:b/>
          <w:kern w:val="2"/>
          <w:sz w:val="24"/>
          <w:szCs w:val="24"/>
          <w:lang w:val="en-US" w:eastAsia="zh-CN" w:bidi="ar-SA"/>
        </w:rPr>
      </w:pPr>
    </w:p>
    <w:p w14:paraId="4608AC94">
      <w:pPr>
        <w:pStyle w:val="8"/>
        <w:rPr>
          <w:rFonts w:hint="default" w:asciiTheme="minorHAnsi" w:hAnsiTheme="minorHAnsi" w:eastAsiaTheme="minorEastAsia" w:cstheme="minorBidi"/>
          <w:b/>
          <w:kern w:val="2"/>
          <w:sz w:val="24"/>
          <w:szCs w:val="24"/>
          <w:lang w:val="en-US" w:eastAsia="zh-CN" w:bidi="ar-SA"/>
        </w:rPr>
      </w:pPr>
    </w:p>
    <w:p w14:paraId="02DA014A">
      <w:pPr>
        <w:pStyle w:val="8"/>
        <w:rPr>
          <w:rFonts w:hint="default" w:asciiTheme="minorHAnsi" w:hAnsiTheme="minorHAnsi" w:eastAsiaTheme="minorEastAsia" w:cstheme="minorBidi"/>
          <w:b/>
          <w:kern w:val="2"/>
          <w:sz w:val="24"/>
          <w:szCs w:val="24"/>
          <w:lang w:val="en-US" w:eastAsia="zh-CN" w:bidi="ar-SA"/>
        </w:rPr>
      </w:pPr>
    </w:p>
    <w:p w14:paraId="5795046B">
      <w:pPr>
        <w:pStyle w:val="8"/>
        <w:rPr>
          <w:rFonts w:hint="default" w:asciiTheme="minorHAnsi" w:hAnsiTheme="minorHAnsi" w:eastAsiaTheme="minorEastAsia" w:cstheme="minorBidi"/>
          <w:b/>
          <w:kern w:val="2"/>
          <w:sz w:val="24"/>
          <w:szCs w:val="24"/>
          <w:lang w:val="en-US" w:eastAsia="zh-CN" w:bidi="ar-SA"/>
        </w:rPr>
      </w:pPr>
    </w:p>
    <w:p w14:paraId="4C859B1B">
      <w:pPr>
        <w:pStyle w:val="8"/>
        <w:rPr>
          <w:rFonts w:hint="default" w:asciiTheme="minorHAnsi" w:hAnsiTheme="minorHAnsi" w:eastAsiaTheme="minorEastAsia" w:cstheme="minorBidi"/>
          <w:b/>
          <w:kern w:val="2"/>
          <w:sz w:val="24"/>
          <w:szCs w:val="24"/>
          <w:lang w:val="en-US" w:eastAsia="zh-CN" w:bidi="ar-SA"/>
        </w:rPr>
      </w:pPr>
    </w:p>
    <w:p w14:paraId="031B6172">
      <w:pPr>
        <w:pStyle w:val="8"/>
        <w:rPr>
          <w:rFonts w:hint="default" w:asciiTheme="minorHAnsi" w:hAnsiTheme="minorHAnsi" w:eastAsiaTheme="minorEastAsia" w:cstheme="minorBidi"/>
          <w:b/>
          <w:kern w:val="2"/>
          <w:sz w:val="24"/>
          <w:szCs w:val="24"/>
          <w:lang w:val="en-US" w:eastAsia="zh-CN" w:bidi="ar-SA"/>
        </w:rPr>
      </w:pPr>
    </w:p>
    <w:p w14:paraId="70226399">
      <w:pPr>
        <w:pStyle w:val="8"/>
        <w:rPr>
          <w:rFonts w:hint="default" w:asciiTheme="minorHAnsi" w:hAnsiTheme="minorHAnsi" w:eastAsiaTheme="minorEastAsia" w:cstheme="minorBidi"/>
          <w:b/>
          <w:kern w:val="2"/>
          <w:sz w:val="24"/>
          <w:szCs w:val="24"/>
          <w:lang w:val="en-US" w:eastAsia="zh-CN" w:bidi="ar-SA"/>
        </w:rPr>
      </w:pPr>
    </w:p>
    <w:p w14:paraId="4E7C61BD">
      <w:pPr>
        <w:pStyle w:val="8"/>
        <w:rPr>
          <w:rFonts w:hint="default" w:asciiTheme="minorHAnsi" w:hAnsiTheme="minorHAnsi" w:eastAsiaTheme="minorEastAsia" w:cstheme="minorBidi"/>
          <w:b/>
          <w:kern w:val="2"/>
          <w:sz w:val="24"/>
          <w:szCs w:val="24"/>
          <w:lang w:val="en-US" w:eastAsia="zh-CN" w:bidi="ar-SA"/>
        </w:rPr>
      </w:pPr>
    </w:p>
    <w:p w14:paraId="0DAB3E96">
      <w:pPr>
        <w:pStyle w:val="8"/>
        <w:rPr>
          <w:rFonts w:hint="default" w:asciiTheme="minorHAnsi" w:hAnsiTheme="minorHAnsi" w:eastAsiaTheme="minorEastAsia" w:cstheme="minorBidi"/>
          <w:b/>
          <w:kern w:val="2"/>
          <w:sz w:val="24"/>
          <w:szCs w:val="24"/>
          <w:lang w:val="en-US" w:eastAsia="zh-CN" w:bidi="ar-SA"/>
        </w:rPr>
      </w:pPr>
    </w:p>
    <w:p w14:paraId="10CDD033">
      <w:pPr>
        <w:pStyle w:val="8"/>
        <w:rPr>
          <w:rFonts w:hint="default" w:asciiTheme="minorHAnsi" w:hAnsiTheme="minorHAnsi" w:eastAsiaTheme="minorEastAsia" w:cstheme="minorBidi"/>
          <w:b/>
          <w:kern w:val="2"/>
          <w:sz w:val="24"/>
          <w:szCs w:val="24"/>
          <w:lang w:val="en-US" w:eastAsia="zh-CN" w:bidi="ar-SA"/>
        </w:rPr>
      </w:pPr>
    </w:p>
    <w:p w14:paraId="15153639">
      <w:pPr>
        <w:pStyle w:val="8"/>
        <w:rPr>
          <w:rFonts w:hint="default" w:asciiTheme="minorHAnsi" w:hAnsiTheme="minorHAnsi" w:eastAsiaTheme="minorEastAsia" w:cstheme="minorBidi"/>
          <w:b/>
          <w:kern w:val="2"/>
          <w:sz w:val="24"/>
          <w:szCs w:val="24"/>
          <w:lang w:val="en-US" w:eastAsia="zh-CN" w:bidi="ar-SA"/>
        </w:rPr>
      </w:pPr>
    </w:p>
    <w:p w14:paraId="2D4E6D67">
      <w:pPr>
        <w:pStyle w:val="8"/>
        <w:rPr>
          <w:rFonts w:hint="default" w:asciiTheme="minorHAnsi" w:hAnsiTheme="minorHAnsi" w:eastAsiaTheme="minorEastAsia" w:cstheme="minorBidi"/>
          <w:b/>
          <w:kern w:val="2"/>
          <w:sz w:val="24"/>
          <w:szCs w:val="24"/>
          <w:lang w:val="en-US" w:eastAsia="zh-CN" w:bidi="ar-SA"/>
        </w:rPr>
      </w:pPr>
    </w:p>
    <w:p w14:paraId="6E26027C">
      <w:pPr>
        <w:pStyle w:val="8"/>
        <w:rPr>
          <w:rFonts w:hint="default" w:asciiTheme="minorHAnsi" w:hAnsiTheme="minorHAnsi" w:eastAsiaTheme="minorEastAsia" w:cstheme="minorBidi"/>
          <w:b/>
          <w:kern w:val="2"/>
          <w:sz w:val="24"/>
          <w:szCs w:val="24"/>
          <w:lang w:val="en-US" w:eastAsia="zh-CN" w:bidi="ar-SA"/>
        </w:rPr>
      </w:pPr>
    </w:p>
    <w:p w14:paraId="3F82D542">
      <w:pPr>
        <w:pStyle w:val="8"/>
        <w:rPr>
          <w:rFonts w:hint="default" w:asciiTheme="minorHAnsi" w:hAnsiTheme="minorHAnsi" w:eastAsiaTheme="minorEastAsia" w:cstheme="minorBidi"/>
          <w:b/>
          <w:kern w:val="2"/>
          <w:sz w:val="24"/>
          <w:szCs w:val="24"/>
          <w:lang w:val="en-US" w:eastAsia="zh-CN" w:bidi="ar-SA"/>
        </w:rPr>
      </w:pPr>
    </w:p>
    <w:p w14:paraId="2D3C924D">
      <w:pPr>
        <w:pStyle w:val="8"/>
        <w:rPr>
          <w:rFonts w:hint="default" w:asciiTheme="minorHAnsi" w:hAnsiTheme="minorHAnsi" w:eastAsiaTheme="minorEastAsia" w:cstheme="minorBidi"/>
          <w:b/>
          <w:kern w:val="2"/>
          <w:sz w:val="24"/>
          <w:szCs w:val="24"/>
          <w:lang w:val="en-US" w:eastAsia="zh-CN" w:bidi="ar-SA"/>
        </w:rPr>
      </w:pPr>
    </w:p>
    <w:p w14:paraId="2D83C4D0">
      <w:pPr>
        <w:pStyle w:val="8"/>
        <w:rPr>
          <w:rFonts w:hint="default" w:asciiTheme="minorHAnsi" w:hAnsiTheme="minorHAnsi" w:eastAsiaTheme="minorEastAsia" w:cstheme="minorBidi"/>
          <w:b/>
          <w:kern w:val="2"/>
          <w:sz w:val="24"/>
          <w:szCs w:val="24"/>
          <w:lang w:val="en-US" w:eastAsia="zh-CN" w:bidi="ar-SA"/>
        </w:rPr>
      </w:pPr>
    </w:p>
    <w:p w14:paraId="708BD330">
      <w:pPr>
        <w:pStyle w:val="8"/>
        <w:rPr>
          <w:rFonts w:hint="default" w:asciiTheme="minorHAnsi" w:hAnsiTheme="minorHAnsi" w:eastAsiaTheme="minorEastAsia" w:cstheme="minorBidi"/>
          <w:b/>
          <w:kern w:val="2"/>
          <w:sz w:val="24"/>
          <w:szCs w:val="24"/>
          <w:lang w:val="en-US" w:eastAsia="zh-CN" w:bidi="ar-SA"/>
        </w:rPr>
      </w:pPr>
    </w:p>
    <w:p w14:paraId="2EB6F11C">
      <w:pPr>
        <w:pStyle w:val="8"/>
        <w:rPr>
          <w:rFonts w:hint="default" w:asciiTheme="minorHAnsi" w:hAnsiTheme="minorHAnsi" w:eastAsiaTheme="minorEastAsia" w:cstheme="minorBidi"/>
          <w:b/>
          <w:kern w:val="2"/>
          <w:sz w:val="24"/>
          <w:szCs w:val="24"/>
          <w:lang w:val="en-US" w:eastAsia="zh-CN" w:bidi="ar-SA"/>
        </w:rPr>
      </w:pPr>
    </w:p>
    <w:p w14:paraId="04A3FF65">
      <w:pPr>
        <w:pStyle w:val="8"/>
        <w:rPr>
          <w:rFonts w:hint="default" w:asciiTheme="minorHAnsi" w:hAnsiTheme="minorHAnsi" w:eastAsiaTheme="minorEastAsia" w:cstheme="minorBidi"/>
          <w:b/>
          <w:kern w:val="2"/>
          <w:sz w:val="24"/>
          <w:szCs w:val="24"/>
          <w:lang w:val="en-US" w:eastAsia="zh-CN" w:bidi="ar-SA"/>
        </w:rPr>
      </w:pPr>
    </w:p>
    <w:p w14:paraId="1C1DFE77">
      <w:pPr>
        <w:pStyle w:val="8"/>
        <w:rPr>
          <w:rFonts w:hint="default" w:asciiTheme="minorHAnsi" w:hAnsiTheme="minorHAnsi" w:eastAsiaTheme="minorEastAsia" w:cstheme="minorBidi"/>
          <w:b/>
          <w:kern w:val="2"/>
          <w:sz w:val="24"/>
          <w:szCs w:val="24"/>
          <w:lang w:val="en-US" w:eastAsia="zh-CN" w:bidi="ar-SA"/>
        </w:rPr>
      </w:pPr>
    </w:p>
    <w:p w14:paraId="2BFA65A5">
      <w:pPr>
        <w:pStyle w:val="8"/>
        <w:rPr>
          <w:rFonts w:hint="default" w:asciiTheme="minorHAnsi" w:hAnsiTheme="minorHAnsi" w:eastAsiaTheme="minorEastAsia" w:cstheme="minorBidi"/>
          <w:b/>
          <w:kern w:val="2"/>
          <w:sz w:val="24"/>
          <w:szCs w:val="24"/>
          <w:lang w:val="en-US" w:eastAsia="zh-CN" w:bidi="ar-SA"/>
        </w:rPr>
      </w:pPr>
    </w:p>
    <w:p w14:paraId="6AE89094">
      <w:pPr>
        <w:pStyle w:val="8"/>
        <w:rPr>
          <w:rFonts w:hint="default" w:asciiTheme="minorHAnsi" w:hAnsiTheme="minorHAnsi" w:eastAsiaTheme="minorEastAsia" w:cstheme="minorBidi"/>
          <w:b/>
          <w:kern w:val="2"/>
          <w:sz w:val="24"/>
          <w:szCs w:val="24"/>
          <w:lang w:val="en-US" w:eastAsia="zh-CN" w:bidi="ar-SA"/>
        </w:rPr>
      </w:pPr>
    </w:p>
    <w:p w14:paraId="5F64964D">
      <w:pPr>
        <w:pStyle w:val="4"/>
        <w:keepNext/>
        <w:keepLines/>
        <w:pageBreakBefore w:val="0"/>
        <w:widowControl w:val="0"/>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default" w:ascii="Times New Roman" w:hAnsi="Times New Roman" w:eastAsia="宋体" w:cs="Times New Roman"/>
          <w:b/>
          <w:bCs w:val="0"/>
          <w:color w:val="auto"/>
          <w:sz w:val="30"/>
          <w:szCs w:val="30"/>
          <w:lang w:val="en-US" w:eastAsia="zh-CN"/>
        </w:rPr>
      </w:pPr>
      <w:bookmarkStart w:id="223" w:name="_Toc5022"/>
      <w:r>
        <w:rPr>
          <w:rFonts w:hint="default" w:ascii="Times New Roman" w:hAnsi="Times New Roman" w:eastAsia="宋体" w:cs="Times New Roman"/>
          <w:b/>
          <w:bCs w:val="0"/>
          <w:color w:val="auto"/>
          <w:sz w:val="30"/>
          <w:szCs w:val="30"/>
          <w:lang w:val="en-US" w:eastAsia="zh-CN"/>
        </w:rPr>
        <w:t>七、验收监测内容</w:t>
      </w:r>
      <w:bookmarkEnd w:id="223"/>
    </w:p>
    <w:p w14:paraId="58EA2178">
      <w:pPr>
        <w:pStyle w:val="5"/>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auto"/>
          <w:sz w:val="28"/>
          <w:szCs w:val="28"/>
          <w:lang w:val="en-US" w:eastAsia="zh-CN"/>
        </w:rPr>
      </w:pPr>
      <w:bookmarkStart w:id="224" w:name="_Toc2760"/>
      <w:bookmarkStart w:id="225" w:name="_Toc16003"/>
      <w:bookmarkStart w:id="226" w:name="_Toc17541"/>
      <w:bookmarkStart w:id="227" w:name="_Toc27317"/>
      <w:bookmarkStart w:id="228" w:name="_Toc5200"/>
      <w:bookmarkStart w:id="229" w:name="_Toc13471"/>
      <w:bookmarkStart w:id="230" w:name="_Toc24036"/>
      <w:bookmarkStart w:id="231" w:name="_Toc13733"/>
      <w:bookmarkStart w:id="232" w:name="_Toc12916"/>
      <w:bookmarkStart w:id="233" w:name="_Toc27612"/>
      <w:bookmarkStart w:id="234" w:name="_Toc16460"/>
      <w:bookmarkStart w:id="235" w:name="_Toc13592"/>
      <w:bookmarkStart w:id="236" w:name="_Toc4742"/>
      <w:bookmarkStart w:id="237" w:name="_Toc1740"/>
      <w:bookmarkStart w:id="238" w:name="_Toc24652"/>
      <w:bookmarkStart w:id="239" w:name="_Toc26279"/>
      <w:bookmarkStart w:id="240" w:name="_Toc10451"/>
      <w:bookmarkStart w:id="241" w:name="_Toc656"/>
      <w:bookmarkStart w:id="242" w:name="_Toc17989"/>
      <w:bookmarkStart w:id="243" w:name="_Toc28950"/>
      <w:bookmarkStart w:id="244" w:name="_Toc6528"/>
      <w:bookmarkStart w:id="245" w:name="_Toc30816"/>
      <w:bookmarkStart w:id="246" w:name="_Toc3927"/>
      <w:bookmarkStart w:id="247" w:name="_Toc1472"/>
      <w:bookmarkStart w:id="248" w:name="_Toc28439"/>
      <w:bookmarkStart w:id="249" w:name="_Toc30286"/>
      <w:bookmarkStart w:id="250" w:name="_Toc27109"/>
      <w:bookmarkStart w:id="251" w:name="_Toc25197"/>
      <w:bookmarkStart w:id="252" w:name="_Toc23340"/>
      <w:bookmarkStart w:id="253" w:name="_Toc9393"/>
      <w:bookmarkStart w:id="254" w:name="_Toc32155"/>
      <w:bookmarkStart w:id="255" w:name="_Toc29394"/>
      <w:bookmarkStart w:id="256" w:name="_Toc25348"/>
      <w:bookmarkStart w:id="257" w:name="_Toc21242"/>
      <w:bookmarkStart w:id="258" w:name="_Toc15150"/>
      <w:bookmarkStart w:id="259" w:name="_Toc22336"/>
      <w:bookmarkStart w:id="260" w:name="_Toc7735"/>
      <w:bookmarkStart w:id="261" w:name="_Toc8299"/>
      <w:bookmarkStart w:id="262" w:name="_Toc29425"/>
      <w:bookmarkStart w:id="263" w:name="_Toc7919"/>
      <w:bookmarkStart w:id="264" w:name="_Toc19210"/>
      <w:bookmarkStart w:id="265" w:name="_Toc4951"/>
      <w:bookmarkStart w:id="266" w:name="_Toc27821"/>
      <w:bookmarkStart w:id="267" w:name="_Toc10537"/>
      <w:r>
        <w:rPr>
          <w:rFonts w:hint="default" w:ascii="Times New Roman" w:hAnsi="Times New Roman" w:eastAsia="宋体" w:cs="Times New Roman"/>
          <w:b w:val="0"/>
          <w:bCs/>
          <w:color w:val="auto"/>
          <w:sz w:val="28"/>
          <w:szCs w:val="28"/>
          <w:lang w:val="en-US" w:eastAsia="zh-CN"/>
        </w:rPr>
        <w:t>7.1验收监测内容和频次</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28851842">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lang w:val="en-US" w:eastAsia="zh-CN"/>
        </w:rPr>
        <w:t>我公司生产情况，</w:t>
      </w:r>
      <w:r>
        <w:rPr>
          <w:rFonts w:hint="default" w:ascii="Times New Roman" w:hAnsi="Times New Roman" w:eastAsia="宋体" w:cs="Times New Roman"/>
          <w:color w:val="auto"/>
          <w:sz w:val="24"/>
          <w:szCs w:val="24"/>
          <w:lang w:val="en-US" w:eastAsia="zh-CN"/>
        </w:rPr>
        <w:t>本次验收监测内容具体见表7-1</w:t>
      </w:r>
      <w:r>
        <w:rPr>
          <w:rFonts w:hint="eastAsia" w:ascii="Times New Roman" w:hAnsi="Times New Roman" w:eastAsia="宋体" w:cs="Times New Roman"/>
          <w:color w:val="auto"/>
          <w:sz w:val="24"/>
          <w:szCs w:val="24"/>
          <w:lang w:val="en-US" w:eastAsia="zh-CN"/>
        </w:rPr>
        <w:t>。</w:t>
      </w:r>
    </w:p>
    <w:p w14:paraId="3B31FD67">
      <w:pPr>
        <w:pageBreakBefore w:val="0"/>
        <w:widowControl w:val="0"/>
        <w:kinsoku/>
        <w:wordWrap/>
        <w:overflowPunct/>
        <w:topLinePunct w:val="0"/>
        <w:autoSpaceDN/>
        <w:bidi w:val="0"/>
        <w:adjustRightInd/>
        <w:snapToGrid/>
        <w:spacing w:line="360" w:lineRule="auto"/>
        <w:ind w:left="0" w:leftChars="0" w:right="0" w:rightChars="0"/>
        <w:jc w:val="center"/>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表7-1监测内容</w:t>
      </w:r>
    </w:p>
    <w:tbl>
      <w:tblPr>
        <w:tblStyle w:val="14"/>
        <w:tblW w:w="86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067"/>
        <w:gridCol w:w="610"/>
        <w:gridCol w:w="762"/>
        <w:gridCol w:w="2720"/>
        <w:gridCol w:w="2248"/>
      </w:tblGrid>
      <w:tr w14:paraId="1636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Align w:val="center"/>
          </w:tcPr>
          <w:p w14:paraId="3FD07E9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采样日期</w:t>
            </w:r>
          </w:p>
        </w:tc>
        <w:tc>
          <w:tcPr>
            <w:tcW w:w="1067" w:type="dxa"/>
            <w:vAlign w:val="center"/>
          </w:tcPr>
          <w:p w14:paraId="6A64198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监测内容</w:t>
            </w:r>
          </w:p>
        </w:tc>
        <w:tc>
          <w:tcPr>
            <w:tcW w:w="1372" w:type="dxa"/>
            <w:gridSpan w:val="2"/>
            <w:vAlign w:val="center"/>
          </w:tcPr>
          <w:p w14:paraId="37276AB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监测点位及个数</w:t>
            </w:r>
          </w:p>
        </w:tc>
        <w:tc>
          <w:tcPr>
            <w:tcW w:w="2720" w:type="dxa"/>
            <w:vAlign w:val="center"/>
          </w:tcPr>
          <w:p w14:paraId="5EBD63F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监测项目</w:t>
            </w:r>
          </w:p>
        </w:tc>
        <w:tc>
          <w:tcPr>
            <w:tcW w:w="2248" w:type="dxa"/>
            <w:vAlign w:val="center"/>
          </w:tcPr>
          <w:p w14:paraId="6DBD8AA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频次</w:t>
            </w:r>
          </w:p>
        </w:tc>
      </w:tr>
      <w:tr w14:paraId="38AA6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Merge w:val="restart"/>
            <w:vAlign w:val="center"/>
          </w:tcPr>
          <w:p w14:paraId="3DDF7B4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6月30日、7月1日</w:t>
            </w:r>
          </w:p>
        </w:tc>
        <w:tc>
          <w:tcPr>
            <w:tcW w:w="1067" w:type="dxa"/>
            <w:shd w:val="clear" w:color="auto" w:fill="auto"/>
            <w:vAlign w:val="center"/>
          </w:tcPr>
          <w:p w14:paraId="54802EE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噪声</w:t>
            </w:r>
          </w:p>
        </w:tc>
        <w:tc>
          <w:tcPr>
            <w:tcW w:w="1372" w:type="dxa"/>
            <w:gridSpan w:val="2"/>
            <w:shd w:val="clear" w:color="auto" w:fill="auto"/>
            <w:vAlign w:val="center"/>
          </w:tcPr>
          <w:p w14:paraId="1777645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厂界四周</w:t>
            </w:r>
          </w:p>
        </w:tc>
        <w:tc>
          <w:tcPr>
            <w:tcW w:w="2720" w:type="dxa"/>
            <w:shd w:val="clear" w:color="auto" w:fill="auto"/>
            <w:vAlign w:val="center"/>
          </w:tcPr>
          <w:p w14:paraId="798130A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噪声（昼间）</w:t>
            </w:r>
          </w:p>
        </w:tc>
        <w:tc>
          <w:tcPr>
            <w:tcW w:w="2248" w:type="dxa"/>
            <w:shd w:val="clear" w:color="auto" w:fill="auto"/>
            <w:vAlign w:val="center"/>
          </w:tcPr>
          <w:p w14:paraId="55FD9C0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次/天，连续两天</w:t>
            </w:r>
          </w:p>
        </w:tc>
      </w:tr>
      <w:tr w14:paraId="12CD6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Merge w:val="continue"/>
            <w:vAlign w:val="center"/>
          </w:tcPr>
          <w:p w14:paraId="3DA4370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067" w:type="dxa"/>
            <w:vMerge w:val="restart"/>
            <w:vAlign w:val="center"/>
          </w:tcPr>
          <w:p w14:paraId="4B71696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废气</w:t>
            </w:r>
          </w:p>
        </w:tc>
        <w:tc>
          <w:tcPr>
            <w:tcW w:w="610" w:type="dxa"/>
            <w:vMerge w:val="restart"/>
            <w:vAlign w:val="center"/>
          </w:tcPr>
          <w:p w14:paraId="1C8EFFA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DA001</w:t>
            </w:r>
          </w:p>
        </w:tc>
        <w:tc>
          <w:tcPr>
            <w:tcW w:w="762" w:type="dxa"/>
            <w:vAlign w:val="center"/>
          </w:tcPr>
          <w:p w14:paraId="736F7B6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进出口</w:t>
            </w:r>
          </w:p>
        </w:tc>
        <w:tc>
          <w:tcPr>
            <w:tcW w:w="2720" w:type="dxa"/>
            <w:vAlign w:val="center"/>
          </w:tcPr>
          <w:p w14:paraId="07308664">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2248" w:type="dxa"/>
            <w:vMerge w:val="restart"/>
            <w:vAlign w:val="center"/>
          </w:tcPr>
          <w:p w14:paraId="780CE4A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次/天，连续两天</w:t>
            </w:r>
          </w:p>
        </w:tc>
      </w:tr>
      <w:tr w14:paraId="032C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1266" w:type="dxa"/>
            <w:vMerge w:val="continue"/>
            <w:vAlign w:val="center"/>
          </w:tcPr>
          <w:p w14:paraId="1784D0A8">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067" w:type="dxa"/>
            <w:vMerge w:val="continue"/>
            <w:vAlign w:val="center"/>
          </w:tcPr>
          <w:p w14:paraId="49B6F28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610" w:type="dxa"/>
            <w:vMerge w:val="continue"/>
            <w:vAlign w:val="center"/>
          </w:tcPr>
          <w:p w14:paraId="45FFE86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762" w:type="dxa"/>
            <w:vAlign w:val="center"/>
          </w:tcPr>
          <w:p w14:paraId="3175E1B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出口</w:t>
            </w:r>
          </w:p>
        </w:tc>
        <w:tc>
          <w:tcPr>
            <w:tcW w:w="2720" w:type="dxa"/>
            <w:vAlign w:val="center"/>
          </w:tcPr>
          <w:p w14:paraId="12B5732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臭气浓度</w:t>
            </w:r>
          </w:p>
        </w:tc>
        <w:tc>
          <w:tcPr>
            <w:tcW w:w="2248" w:type="dxa"/>
            <w:vMerge w:val="continue"/>
            <w:vAlign w:val="center"/>
          </w:tcPr>
          <w:p w14:paraId="0C58CDD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r>
      <w:tr w14:paraId="28B70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Merge w:val="continue"/>
            <w:vAlign w:val="center"/>
          </w:tcPr>
          <w:p w14:paraId="1115358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067" w:type="dxa"/>
            <w:vMerge w:val="continue"/>
            <w:vAlign w:val="center"/>
          </w:tcPr>
          <w:p w14:paraId="2E9AA27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372" w:type="dxa"/>
            <w:gridSpan w:val="2"/>
            <w:vAlign w:val="center"/>
          </w:tcPr>
          <w:p w14:paraId="710EC6F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厂界四周</w:t>
            </w:r>
          </w:p>
        </w:tc>
        <w:tc>
          <w:tcPr>
            <w:tcW w:w="2720" w:type="dxa"/>
            <w:vAlign w:val="center"/>
          </w:tcPr>
          <w:p w14:paraId="650718E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非甲烷总烃、臭气浓度</w:t>
            </w:r>
          </w:p>
        </w:tc>
        <w:tc>
          <w:tcPr>
            <w:tcW w:w="2248" w:type="dxa"/>
            <w:vAlign w:val="center"/>
          </w:tcPr>
          <w:p w14:paraId="191D663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次/天，连续两天</w:t>
            </w:r>
          </w:p>
        </w:tc>
      </w:tr>
      <w:tr w14:paraId="30464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66" w:type="dxa"/>
            <w:vMerge w:val="continue"/>
            <w:vAlign w:val="center"/>
          </w:tcPr>
          <w:p w14:paraId="34C7CF9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067" w:type="dxa"/>
            <w:vMerge w:val="continue"/>
            <w:vAlign w:val="center"/>
          </w:tcPr>
          <w:p w14:paraId="47704C7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372" w:type="dxa"/>
            <w:gridSpan w:val="2"/>
            <w:vAlign w:val="center"/>
          </w:tcPr>
          <w:p w14:paraId="591D0BB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车间内</w:t>
            </w:r>
          </w:p>
        </w:tc>
        <w:tc>
          <w:tcPr>
            <w:tcW w:w="2720" w:type="dxa"/>
            <w:vAlign w:val="center"/>
          </w:tcPr>
          <w:p w14:paraId="0A295AA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2248" w:type="dxa"/>
            <w:vAlign w:val="center"/>
          </w:tcPr>
          <w:p w14:paraId="137B415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次/天，连续两天</w:t>
            </w:r>
          </w:p>
        </w:tc>
      </w:tr>
    </w:tbl>
    <w:p w14:paraId="0A041A9A">
      <w:pPr>
        <w:pageBreakBefore w:val="0"/>
        <w:widowControl w:val="0"/>
        <w:kinsoku/>
        <w:wordWrap/>
        <w:overflowPunct/>
        <w:topLinePunct w:val="0"/>
        <w:autoSpaceDN/>
        <w:bidi w:val="0"/>
        <w:adjustRightInd/>
        <w:snapToGrid/>
        <w:spacing w:line="360" w:lineRule="auto"/>
        <w:ind w:left="0" w:leftChars="0" w:right="0" w:rightChars="0"/>
        <w:jc w:val="center"/>
        <w:textAlignment w:val="auto"/>
        <w:rPr>
          <w:rFonts w:hint="default" w:ascii="Times New Roman" w:hAnsi="Times New Roman" w:eastAsia="宋体" w:cs="Times New Roman"/>
          <w:lang w:val="en-US" w:eastAsia="zh-CN"/>
        </w:rPr>
      </w:pPr>
    </w:p>
    <w:p w14:paraId="34857905">
      <w:pPr>
        <w:jc w:val="both"/>
        <w:rPr>
          <w:rFonts w:hint="eastAsia" w:ascii="宋体" w:hAnsi="宋体" w:cs="宋体"/>
          <w:b/>
          <w:bCs/>
          <w:sz w:val="24"/>
          <w:szCs w:val="24"/>
          <w:lang w:val="en-US" w:eastAsia="zh-CN"/>
        </w:rPr>
      </w:pPr>
      <w:r>
        <w:rPr>
          <w:rFonts w:hint="eastAsia" w:ascii="宋体" w:hAnsi="宋体" w:cs="宋体"/>
          <w:b/>
          <w:bCs/>
          <w:sz w:val="21"/>
          <w:szCs w:val="21"/>
        </w:rPr>
        <w:t>采样布点示意图</w:t>
      </w:r>
      <w:r>
        <w:rPr>
          <w:rFonts w:hint="eastAsia" w:ascii="宋体" w:hAnsi="宋体" w:cs="宋体"/>
          <w:b/>
          <w:bCs/>
          <w:sz w:val="24"/>
          <w:szCs w:val="24"/>
        </w:rPr>
        <w:t>：</w:t>
      </w:r>
      <w:r>
        <w:rPr>
          <w:rFonts w:hint="eastAsia" w:ascii="宋体" w:hAnsi="宋体" w:cs="宋体"/>
          <w:b/>
          <w:bCs/>
          <w:sz w:val="24"/>
          <w:szCs w:val="24"/>
          <w:lang w:val="en-US" w:eastAsia="zh-CN"/>
        </w:rPr>
        <w:t>见附件检测报告</w:t>
      </w:r>
    </w:p>
    <w:p w14:paraId="58D0B116">
      <w:pPr>
        <w:jc w:val="center"/>
        <w:rPr>
          <w:rFonts w:hint="default" w:ascii="宋体" w:hAnsi="宋体" w:cs="宋体"/>
          <w:b/>
          <w:bCs/>
          <w:sz w:val="24"/>
          <w:szCs w:val="24"/>
          <w:lang w:val="en-US" w:eastAsia="zh-CN"/>
        </w:rPr>
      </w:pPr>
      <w:r>
        <w:drawing>
          <wp:inline distT="0" distB="0" distL="114300" distR="114300">
            <wp:extent cx="4185920" cy="3021330"/>
            <wp:effectExtent l="0" t="0" r="5080" b="127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2"/>
                    <a:stretch>
                      <a:fillRect/>
                    </a:stretch>
                  </pic:blipFill>
                  <pic:spPr>
                    <a:xfrm>
                      <a:off x="0" y="0"/>
                      <a:ext cx="4185920" cy="3021330"/>
                    </a:xfrm>
                    <a:prstGeom prst="rect">
                      <a:avLst/>
                    </a:prstGeom>
                    <a:noFill/>
                    <a:ln>
                      <a:noFill/>
                    </a:ln>
                  </pic:spPr>
                </pic:pic>
              </a:graphicData>
            </a:graphic>
          </wp:inline>
        </w:drawing>
      </w:r>
    </w:p>
    <w:p w14:paraId="31BB7AFC">
      <w:pPr>
        <w:pStyle w:val="8"/>
      </w:pPr>
    </w:p>
    <w:p w14:paraId="4D332184">
      <w:pPr>
        <w:pStyle w:val="8"/>
      </w:pPr>
    </w:p>
    <w:p w14:paraId="31B6AF00">
      <w:pPr>
        <w:pStyle w:val="8"/>
      </w:pPr>
    </w:p>
    <w:p w14:paraId="2DC562B1">
      <w:pPr>
        <w:pStyle w:val="8"/>
      </w:pPr>
    </w:p>
    <w:p w14:paraId="000F4B05">
      <w:pPr>
        <w:pStyle w:val="8"/>
      </w:pPr>
    </w:p>
    <w:p w14:paraId="66E3F1C0">
      <w:pPr>
        <w:pStyle w:val="4"/>
        <w:keepNext/>
        <w:keepLines/>
        <w:pageBreakBefore w:val="0"/>
        <w:widowControl w:val="0"/>
        <w:numPr>
          <w:ilvl w:val="0"/>
          <w:numId w:val="0"/>
        </w:numPr>
        <w:kinsoku/>
        <w:wordWrap/>
        <w:overflowPunct/>
        <w:topLinePunct w:val="0"/>
        <w:autoSpaceDE w:val="0"/>
        <w:autoSpaceDN/>
        <w:bidi w:val="0"/>
        <w:adjustRightInd/>
        <w:snapToGrid/>
        <w:spacing w:before="0" w:beforeLines="0" w:line="360" w:lineRule="auto"/>
        <w:ind w:left="0" w:leftChars="0" w:right="0" w:rightChars="0" w:firstLine="0" w:firstLineChars="0"/>
        <w:jc w:val="both"/>
        <w:textAlignment w:val="auto"/>
        <w:outlineLvl w:val="0"/>
        <w:rPr>
          <w:rFonts w:hint="default" w:ascii="Times New Roman" w:hAnsi="Times New Roman" w:eastAsia="宋体" w:cs="Times New Roman"/>
          <w:b/>
          <w:bCs w:val="0"/>
          <w:sz w:val="30"/>
          <w:szCs w:val="30"/>
          <w:lang w:val="en-US" w:eastAsia="zh-CN"/>
        </w:rPr>
      </w:pPr>
      <w:bookmarkStart w:id="268" w:name="_Toc27305"/>
      <w:r>
        <w:rPr>
          <w:rFonts w:hint="default" w:ascii="Times New Roman" w:hAnsi="Times New Roman" w:eastAsia="宋体" w:cs="Times New Roman"/>
          <w:b/>
          <w:bCs w:val="0"/>
          <w:sz w:val="30"/>
          <w:szCs w:val="30"/>
          <w:lang w:val="en-US" w:eastAsia="zh-CN"/>
        </w:rPr>
        <w:t>八、质量保证及质量控制</w:t>
      </w:r>
      <w:bookmarkEnd w:id="268"/>
    </w:p>
    <w:p w14:paraId="45574E51">
      <w:pPr>
        <w:pStyle w:val="5"/>
        <w:pageBreakBefore w:val="0"/>
        <w:widowControl w:val="0"/>
        <w:kinsoku/>
        <w:wordWrap/>
        <w:overflowPunct/>
        <w:topLinePunct w:val="0"/>
        <w:autoSpaceDN/>
        <w:bidi w:val="0"/>
        <w:adjustRightInd/>
        <w:snapToGrid/>
        <w:spacing w:line="360" w:lineRule="auto"/>
        <w:textAlignment w:val="auto"/>
        <w:outlineLvl w:val="1"/>
        <w:rPr>
          <w:rFonts w:hint="default" w:ascii="Times New Roman" w:hAnsi="Times New Roman" w:eastAsia="宋体" w:cs="Times New Roman"/>
          <w:b w:val="0"/>
          <w:bCs/>
          <w:sz w:val="28"/>
          <w:szCs w:val="28"/>
          <w:lang w:val="en-US" w:eastAsia="zh-CN"/>
        </w:rPr>
      </w:pPr>
      <w:bookmarkStart w:id="269" w:name="_Toc23769"/>
      <w:bookmarkStart w:id="270" w:name="_Toc27760"/>
      <w:bookmarkStart w:id="271" w:name="_Toc7184"/>
      <w:bookmarkStart w:id="272" w:name="_Toc818"/>
      <w:bookmarkStart w:id="273" w:name="_Toc18723"/>
      <w:bookmarkStart w:id="274" w:name="_Toc18127"/>
      <w:bookmarkStart w:id="275" w:name="_Toc8719"/>
      <w:bookmarkStart w:id="276" w:name="_Toc1965"/>
      <w:bookmarkStart w:id="277" w:name="_Toc4557"/>
      <w:bookmarkStart w:id="278" w:name="_Toc32630"/>
      <w:bookmarkStart w:id="279" w:name="_Toc8118"/>
      <w:bookmarkStart w:id="280" w:name="_Toc470"/>
      <w:bookmarkStart w:id="281" w:name="_Toc24252"/>
      <w:bookmarkStart w:id="282" w:name="_Toc20989"/>
      <w:bookmarkStart w:id="283" w:name="_Toc30740"/>
      <w:bookmarkStart w:id="284" w:name="_Toc16067"/>
      <w:bookmarkStart w:id="285" w:name="_Toc8660"/>
      <w:bookmarkStart w:id="286" w:name="_Toc11454"/>
      <w:bookmarkStart w:id="287" w:name="_Toc2647"/>
      <w:bookmarkStart w:id="288" w:name="_Toc19287"/>
      <w:bookmarkStart w:id="289" w:name="_Toc27389"/>
      <w:bookmarkStart w:id="290" w:name="_Toc15378"/>
      <w:bookmarkStart w:id="291" w:name="_Toc30764"/>
      <w:bookmarkStart w:id="292" w:name="_Toc11781"/>
      <w:bookmarkStart w:id="293" w:name="_Toc11596"/>
      <w:bookmarkStart w:id="294" w:name="_Toc30846"/>
      <w:bookmarkStart w:id="295" w:name="_Toc16972"/>
      <w:bookmarkStart w:id="296" w:name="_Toc6728"/>
      <w:bookmarkStart w:id="297" w:name="_Toc15427"/>
      <w:bookmarkStart w:id="298" w:name="_Toc21573"/>
      <w:bookmarkStart w:id="299" w:name="_Toc15943"/>
      <w:bookmarkStart w:id="300" w:name="_Toc2402"/>
      <w:bookmarkStart w:id="301" w:name="_Toc21635"/>
      <w:bookmarkStart w:id="302" w:name="_Toc25489"/>
      <w:bookmarkStart w:id="303" w:name="_Toc21150"/>
      <w:bookmarkStart w:id="304" w:name="_Toc26644"/>
      <w:r>
        <w:rPr>
          <w:rFonts w:hint="default" w:ascii="Times New Roman" w:hAnsi="Times New Roman" w:eastAsia="宋体" w:cs="Times New Roman"/>
          <w:b w:val="0"/>
          <w:bCs/>
          <w:sz w:val="28"/>
          <w:szCs w:val="28"/>
          <w:lang w:val="en-US" w:eastAsia="zh-CN"/>
        </w:rPr>
        <w:t>8.1监测分析方法</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1DC9B72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监测分析方法按照国家标准分析方法和国家环保局颁布的监测分析方法及有关规定执行。样品的采集、运输、保存及实验室分析全过程质量保证参照《浙江省环境监测质量保证技术规定》执行。监测分析方法</w:t>
      </w:r>
      <w:r>
        <w:rPr>
          <w:rFonts w:hint="eastAsia" w:ascii="Times New Roman" w:hAnsi="Times New Roman" w:eastAsia="宋体" w:cs="Times New Roman"/>
          <w:lang w:val="en-US" w:eastAsia="zh-CN"/>
        </w:rPr>
        <w:t>如下</w:t>
      </w:r>
      <w:r>
        <w:rPr>
          <w:rFonts w:hint="default" w:ascii="Times New Roman" w:hAnsi="Times New Roman" w:eastAsia="宋体" w:cs="Times New Roman"/>
          <w:lang w:val="en-US" w:eastAsia="zh-CN"/>
        </w:rPr>
        <w:t>。</w:t>
      </w:r>
    </w:p>
    <w:p w14:paraId="5471711D">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eastAsia" w:eastAsia="楷体_GB2312"/>
          <w:color w:val="auto"/>
          <w:sz w:val="21"/>
          <w:szCs w:val="21"/>
          <w:u w:val="single"/>
          <w:lang w:val="en-US" w:eastAsia="zh-CN"/>
        </w:rPr>
      </w:pPr>
      <w:r>
        <w:rPr>
          <w:rFonts w:hint="eastAsia" w:eastAsia="楷体_GB2312"/>
          <w:color w:val="auto"/>
          <w:sz w:val="21"/>
          <w:szCs w:val="21"/>
          <w:u w:val="single"/>
          <w:lang w:val="en-US" w:eastAsia="zh-CN"/>
        </w:rPr>
        <w:t xml:space="preserve">非甲烷总烃     固定污染源废气 总烃、甲烷和非甲烷总烃的测定 气相色谱法HJ 38-2017   </w:t>
      </w:r>
    </w:p>
    <w:p w14:paraId="42E5E0E1">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eastAsia" w:eastAsia="楷体_GB2312"/>
          <w:color w:val="auto"/>
          <w:sz w:val="21"/>
          <w:szCs w:val="21"/>
          <w:u w:val="single"/>
          <w:lang w:val="en-US" w:eastAsia="zh-CN"/>
        </w:rPr>
      </w:pPr>
      <w:r>
        <w:rPr>
          <w:rFonts w:hint="eastAsia" w:eastAsia="楷体_GB2312"/>
          <w:color w:val="auto"/>
          <w:sz w:val="21"/>
          <w:szCs w:val="21"/>
          <w:u w:val="single"/>
          <w:lang w:val="en-US" w:eastAsia="zh-CN"/>
        </w:rPr>
        <w:t xml:space="preserve">臭气浓度             环境空气和废气 臭气的测定 三点比较式臭袋法 HJ 1262-2022                   </w:t>
      </w:r>
    </w:p>
    <w:p w14:paraId="62B2CF7D">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eastAsia" w:ascii="Times New Roman" w:hAnsi="Times New Roman" w:eastAsia="楷体_GB2312" w:cs="Times New Roman"/>
          <w:color w:val="auto"/>
          <w:spacing w:val="-11"/>
          <w:sz w:val="21"/>
          <w:szCs w:val="21"/>
          <w:u w:val="single"/>
          <w:lang w:val="en-US" w:eastAsia="zh-CN"/>
        </w:rPr>
      </w:pPr>
      <w:r>
        <w:rPr>
          <w:rFonts w:hint="default" w:eastAsia="楷体_GB2312"/>
          <w:color w:val="auto"/>
          <w:sz w:val="21"/>
          <w:szCs w:val="21"/>
          <w:u w:val="single"/>
          <w:lang w:val="en-US" w:eastAsia="zh-CN"/>
        </w:rPr>
        <w:t xml:space="preserve">非甲烷总烃  </w:t>
      </w:r>
      <w:r>
        <w:rPr>
          <w:rFonts w:hint="default" w:ascii="Times New Roman" w:hAnsi="Times New Roman" w:eastAsia="楷体_GB2312" w:cs="Times New Roman"/>
          <w:color w:val="auto"/>
          <w:spacing w:val="-11"/>
          <w:sz w:val="21"/>
          <w:szCs w:val="21"/>
          <w:u w:val="single"/>
          <w:lang w:val="en-US" w:eastAsia="zh-CN"/>
        </w:rPr>
        <w:t>环境空气 总烃、甲烷和非甲烷总烃的测定 直接进样</w:t>
      </w:r>
      <w:r>
        <w:rPr>
          <w:rFonts w:hint="eastAsia" w:ascii="Times New Roman" w:hAnsi="Times New Roman" w:eastAsia="楷体_GB2312" w:cs="Times New Roman"/>
          <w:color w:val="auto"/>
          <w:spacing w:val="-11"/>
          <w:sz w:val="21"/>
          <w:szCs w:val="21"/>
          <w:u w:val="single"/>
          <w:lang w:val="en-US" w:eastAsia="zh-CN"/>
        </w:rPr>
        <w:t>-</w:t>
      </w:r>
      <w:r>
        <w:rPr>
          <w:rFonts w:hint="default" w:ascii="Times New Roman" w:hAnsi="Times New Roman" w:eastAsia="楷体_GB2312" w:cs="Times New Roman"/>
          <w:color w:val="auto"/>
          <w:spacing w:val="-11"/>
          <w:sz w:val="21"/>
          <w:szCs w:val="21"/>
          <w:u w:val="single"/>
          <w:lang w:val="en-US" w:eastAsia="zh-CN"/>
        </w:rPr>
        <w:t>气相色谱法 HJ</w:t>
      </w:r>
      <w:r>
        <w:rPr>
          <w:rFonts w:hint="eastAsia" w:ascii="Times New Roman" w:hAnsi="Times New Roman" w:eastAsia="楷体_GB2312" w:cs="Times New Roman"/>
          <w:color w:val="auto"/>
          <w:spacing w:val="-11"/>
          <w:sz w:val="21"/>
          <w:szCs w:val="21"/>
          <w:u w:val="single"/>
          <w:lang w:val="en-US" w:eastAsia="zh-CN"/>
        </w:rPr>
        <w:t xml:space="preserve"> </w:t>
      </w:r>
      <w:r>
        <w:rPr>
          <w:rFonts w:hint="default" w:ascii="Times New Roman" w:hAnsi="Times New Roman" w:eastAsia="楷体_GB2312" w:cs="Times New Roman"/>
          <w:color w:val="auto"/>
          <w:spacing w:val="-11"/>
          <w:sz w:val="21"/>
          <w:szCs w:val="21"/>
          <w:u w:val="single"/>
          <w:lang w:val="en-US" w:eastAsia="zh-CN"/>
        </w:rPr>
        <w:t>604-2017</w:t>
      </w:r>
      <w:r>
        <w:rPr>
          <w:rFonts w:hint="eastAsia" w:ascii="Times New Roman" w:hAnsi="Times New Roman" w:eastAsia="楷体_GB2312" w:cs="Times New Roman"/>
          <w:color w:val="auto"/>
          <w:spacing w:val="-11"/>
          <w:sz w:val="21"/>
          <w:szCs w:val="21"/>
          <w:u w:val="single"/>
          <w:lang w:val="en-US" w:eastAsia="zh-CN"/>
        </w:rPr>
        <w:t xml:space="preserve">     </w:t>
      </w:r>
    </w:p>
    <w:p w14:paraId="2EBD9773">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default" w:ascii="Times New Roman" w:hAnsi="Times New Roman" w:eastAsia="楷体_GB2312" w:cs="Times New Roman"/>
          <w:color w:val="auto"/>
          <w:spacing w:val="-11"/>
          <w:sz w:val="21"/>
          <w:szCs w:val="21"/>
          <w:u w:val="single"/>
          <w:lang w:val="en-US" w:eastAsia="zh-CN"/>
        </w:rPr>
      </w:pPr>
      <w:r>
        <w:rPr>
          <w:rFonts w:hint="default" w:ascii="Times New Roman" w:hAnsi="Times New Roman" w:eastAsia="楷体_GB2312" w:cs="Times New Roman"/>
          <w:color w:val="auto"/>
          <w:spacing w:val="-11"/>
          <w:sz w:val="21"/>
          <w:szCs w:val="21"/>
          <w:u w:val="single"/>
          <w:lang w:val="en-US" w:eastAsia="zh-CN"/>
        </w:rPr>
        <w:t xml:space="preserve">总悬浮颗粒物      </w:t>
      </w:r>
      <w:r>
        <w:rPr>
          <w:rFonts w:hint="eastAsia" w:ascii="Times New Roman" w:hAnsi="Times New Roman" w:eastAsia="楷体_GB2312" w:cs="Times New Roman"/>
          <w:color w:val="auto"/>
          <w:spacing w:val="-11"/>
          <w:sz w:val="21"/>
          <w:szCs w:val="21"/>
          <w:u w:val="single"/>
          <w:lang w:val="en-US" w:eastAsia="zh-CN"/>
        </w:rPr>
        <w:t xml:space="preserve">     </w:t>
      </w:r>
      <w:r>
        <w:rPr>
          <w:rFonts w:hint="default" w:ascii="Times New Roman" w:hAnsi="Times New Roman" w:eastAsia="楷体_GB2312" w:cs="Times New Roman"/>
          <w:color w:val="auto"/>
          <w:spacing w:val="-11"/>
          <w:sz w:val="21"/>
          <w:szCs w:val="21"/>
          <w:u w:val="single"/>
          <w:lang w:val="en-US" w:eastAsia="zh-CN"/>
        </w:rPr>
        <w:t xml:space="preserve">  环境空气 总悬浮颗粒物的测定 HJ 1263-2022</w:t>
      </w:r>
      <w:r>
        <w:rPr>
          <w:rFonts w:hint="eastAsia" w:ascii="Times New Roman" w:hAnsi="Times New Roman" w:eastAsia="楷体_GB2312" w:cs="Times New Roman"/>
          <w:color w:val="auto"/>
          <w:spacing w:val="-11"/>
          <w:sz w:val="21"/>
          <w:szCs w:val="21"/>
          <w:u w:val="single"/>
          <w:lang w:val="en-US" w:eastAsia="zh-CN"/>
        </w:rPr>
        <w:t xml:space="preserve">                                          </w:t>
      </w:r>
    </w:p>
    <w:p w14:paraId="6EE51D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sz w:val="24"/>
          <w:szCs w:val="24"/>
          <w:lang w:val="en-US" w:eastAsia="zh-CN"/>
        </w:rPr>
      </w:pPr>
      <w:r>
        <w:rPr>
          <w:rFonts w:eastAsia="楷体_GB2312"/>
          <w:color w:val="auto"/>
          <w:sz w:val="21"/>
          <w:szCs w:val="21"/>
          <w:u w:val="single"/>
        </w:rPr>
        <w:t>工业企业厂界环境噪声</w:t>
      </w:r>
      <w:r>
        <w:rPr>
          <w:rFonts w:hint="eastAsia" w:eastAsia="楷体_GB2312"/>
          <w:color w:val="auto"/>
          <w:sz w:val="21"/>
          <w:szCs w:val="21"/>
          <w:u w:val="single"/>
          <w:lang w:val="en-US" w:eastAsia="zh-CN"/>
        </w:rPr>
        <w:t xml:space="preserve">  </w:t>
      </w:r>
      <w:r>
        <w:rPr>
          <w:rFonts w:eastAsia="楷体_GB2312"/>
          <w:color w:val="auto"/>
          <w:sz w:val="21"/>
          <w:szCs w:val="21"/>
          <w:u w:val="single"/>
        </w:rPr>
        <w:t xml:space="preserve">工业企业厂界环境噪声排放标准 GB 12348-2008                     </w:t>
      </w:r>
    </w:p>
    <w:p w14:paraId="63C3D2D4">
      <w:pPr>
        <w:pStyle w:val="5"/>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sz w:val="24"/>
          <w:szCs w:val="24"/>
          <w:lang w:val="en-US" w:eastAsia="zh-CN"/>
        </w:rPr>
      </w:pPr>
      <w:bookmarkStart w:id="305" w:name="_Toc5503"/>
      <w:bookmarkStart w:id="306" w:name="_Toc944"/>
      <w:bookmarkStart w:id="307" w:name="_Toc21491"/>
      <w:bookmarkStart w:id="308" w:name="_Toc12939"/>
      <w:bookmarkStart w:id="309" w:name="_Toc20327"/>
      <w:bookmarkStart w:id="310" w:name="_Toc21339"/>
      <w:bookmarkStart w:id="311" w:name="_Toc20854"/>
      <w:bookmarkStart w:id="312" w:name="_Toc1321"/>
      <w:bookmarkStart w:id="313" w:name="_Toc10012"/>
      <w:bookmarkStart w:id="314" w:name="_Toc11923"/>
      <w:bookmarkStart w:id="315" w:name="_Toc19769"/>
      <w:bookmarkStart w:id="316" w:name="_Toc29492"/>
      <w:bookmarkStart w:id="317" w:name="_Toc28009"/>
      <w:bookmarkStart w:id="318" w:name="_Toc11918"/>
      <w:bookmarkStart w:id="319" w:name="_Toc23106"/>
      <w:bookmarkStart w:id="320" w:name="_Toc28918"/>
      <w:bookmarkStart w:id="321" w:name="_Toc21335"/>
      <w:bookmarkStart w:id="322" w:name="_Toc5625"/>
      <w:bookmarkStart w:id="323" w:name="_Toc6265"/>
      <w:bookmarkStart w:id="324" w:name="_Toc3524"/>
      <w:bookmarkStart w:id="325" w:name="_Toc12478"/>
      <w:bookmarkStart w:id="326" w:name="_Toc29049"/>
      <w:bookmarkStart w:id="327" w:name="_Toc28495"/>
      <w:bookmarkStart w:id="328" w:name="_Toc30758"/>
      <w:bookmarkStart w:id="329" w:name="_Toc2677"/>
      <w:bookmarkStart w:id="330" w:name="_Toc31029"/>
      <w:bookmarkStart w:id="331" w:name="_Toc14668"/>
      <w:bookmarkStart w:id="332" w:name="_Toc29729"/>
      <w:bookmarkStart w:id="333" w:name="_Toc14044"/>
      <w:bookmarkStart w:id="334" w:name="_Toc6624"/>
      <w:bookmarkStart w:id="335" w:name="_Toc17861"/>
      <w:bookmarkStart w:id="336" w:name="_Toc31696"/>
      <w:bookmarkStart w:id="337" w:name="_Toc15360"/>
      <w:bookmarkStart w:id="338" w:name="_Toc32633"/>
      <w:bookmarkStart w:id="339" w:name="_Toc25688"/>
      <w:bookmarkStart w:id="340" w:name="_Toc24106"/>
      <w:bookmarkStart w:id="341" w:name="_Toc17926"/>
      <w:bookmarkStart w:id="342" w:name="_Toc3550"/>
      <w:bookmarkStart w:id="343" w:name="_Toc2825"/>
      <w:bookmarkStart w:id="344" w:name="_Toc25624"/>
      <w:bookmarkStart w:id="345" w:name="_Toc26801"/>
      <w:bookmarkStart w:id="346" w:name="_Toc4469"/>
      <w:bookmarkStart w:id="347" w:name="_Toc6521"/>
      <w:bookmarkStart w:id="348" w:name="_Toc5785"/>
      <w:bookmarkStart w:id="349" w:name="_Toc30100"/>
      <w:bookmarkStart w:id="350" w:name="_Toc31941"/>
      <w:bookmarkStart w:id="351" w:name="_Toc1971"/>
      <w:r>
        <w:rPr>
          <w:rFonts w:hint="default" w:ascii="Times New Roman" w:hAnsi="Times New Roman" w:eastAsia="宋体" w:cs="Times New Roman"/>
          <w:b w:val="0"/>
          <w:bCs/>
          <w:sz w:val="24"/>
          <w:szCs w:val="24"/>
          <w:lang w:val="en-US" w:eastAsia="zh-CN"/>
        </w:rPr>
        <w:t>8.2</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Pr>
          <w:rFonts w:hint="default" w:ascii="Times New Roman" w:hAnsi="Times New Roman" w:eastAsia="宋体" w:cs="Times New Roman"/>
          <w:b w:val="0"/>
          <w:bCs/>
          <w:sz w:val="24"/>
          <w:szCs w:val="24"/>
          <w:lang w:val="en-US" w:eastAsia="zh-CN"/>
        </w:rPr>
        <w:t>监测仪器分析</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3A7C1DC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根据《检测检验机构认定评审准则》的相关定,建立合适本公司的《仪器设备管理程序》、《仪器设备期间核查程序》等与仪器设备相关的程序,使设备的性能和状态符合检测技术要求,对仪器设备实施有效管理。</w:t>
      </w:r>
    </w:p>
    <w:p w14:paraId="6EAEF15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我公司参与本次项目监测的仪器均由资质单位经过检定,并在有效的检定范围之内,设备使用前校准合格后使用,能保证监测数据的有效性。</w:t>
      </w:r>
    </w:p>
    <w:p w14:paraId="33661B72">
      <w:pPr>
        <w:pStyle w:val="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lang w:val="en-US" w:eastAsia="zh-CN"/>
        </w:rPr>
      </w:pPr>
      <w:bookmarkStart w:id="352" w:name="_Toc27675"/>
      <w:bookmarkStart w:id="353" w:name="_Toc7196"/>
      <w:bookmarkStart w:id="354" w:name="_Toc14819"/>
      <w:bookmarkStart w:id="355" w:name="_Toc28857"/>
      <w:bookmarkStart w:id="356" w:name="_Toc5658"/>
      <w:bookmarkStart w:id="357" w:name="_Toc28867"/>
      <w:bookmarkStart w:id="358" w:name="_Toc2393"/>
      <w:bookmarkStart w:id="359" w:name="_Toc17047"/>
      <w:bookmarkStart w:id="360" w:name="_Toc1436"/>
      <w:bookmarkStart w:id="361" w:name="_Toc1534"/>
      <w:bookmarkStart w:id="362" w:name="_Toc13272"/>
      <w:bookmarkStart w:id="363" w:name="_Toc8440"/>
      <w:bookmarkStart w:id="364" w:name="_Toc24467"/>
      <w:bookmarkStart w:id="365" w:name="_Toc14561"/>
      <w:bookmarkStart w:id="366" w:name="_Toc26509"/>
      <w:bookmarkStart w:id="367" w:name="_Toc4774"/>
      <w:bookmarkStart w:id="368" w:name="_Toc25334"/>
      <w:bookmarkStart w:id="369" w:name="_Toc14559"/>
      <w:bookmarkStart w:id="370" w:name="_Toc29778"/>
      <w:bookmarkStart w:id="371" w:name="_Toc23315"/>
      <w:bookmarkStart w:id="372" w:name="_Toc255"/>
      <w:r>
        <w:rPr>
          <w:rFonts w:hint="default" w:ascii="Times New Roman" w:hAnsi="Times New Roman" w:eastAsia="宋体" w:cs="Times New Roman"/>
          <w:lang w:val="en-US" w:eastAsia="zh-CN"/>
        </w:rPr>
        <w:t>8.3人员资质</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3B1590CC">
      <w:pPr>
        <w:pStyle w:val="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参与本项目的采样，分析人员均参与浙江省环境协会及公司内部培训，并通过考核，拥有相关领域的上岗证，做到执证上岗。</w:t>
      </w:r>
    </w:p>
    <w:p w14:paraId="57D29DD3">
      <w:pPr>
        <w:pStyle w:val="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lang w:val="en-US" w:eastAsia="zh-CN"/>
        </w:rPr>
      </w:pPr>
      <w:bookmarkStart w:id="373" w:name="_Toc12816"/>
      <w:bookmarkStart w:id="374" w:name="_Toc7324"/>
      <w:bookmarkStart w:id="375" w:name="_Toc10291"/>
      <w:bookmarkStart w:id="376" w:name="_Toc25353"/>
      <w:bookmarkStart w:id="377" w:name="_Toc20729"/>
      <w:bookmarkStart w:id="378" w:name="_Toc10213"/>
      <w:bookmarkStart w:id="379" w:name="_Toc8048"/>
      <w:bookmarkStart w:id="380" w:name="_Toc29398"/>
      <w:bookmarkStart w:id="381" w:name="_Toc894"/>
      <w:bookmarkStart w:id="382" w:name="_Toc31928"/>
      <w:bookmarkStart w:id="383" w:name="_Toc25516"/>
      <w:bookmarkStart w:id="384" w:name="_Toc18631"/>
      <w:bookmarkStart w:id="385" w:name="_Toc30791"/>
      <w:bookmarkStart w:id="386" w:name="_Toc1619"/>
      <w:bookmarkStart w:id="387" w:name="_Toc23151"/>
      <w:bookmarkStart w:id="388" w:name="_Toc1948"/>
      <w:bookmarkStart w:id="389" w:name="_Toc27376"/>
      <w:bookmarkStart w:id="390" w:name="_Toc3747"/>
      <w:bookmarkStart w:id="391" w:name="_Toc1870"/>
      <w:bookmarkStart w:id="392" w:name="_Toc3463"/>
      <w:r>
        <w:rPr>
          <w:rFonts w:hint="default" w:ascii="Times New Roman" w:hAnsi="Times New Roman" w:eastAsia="宋体" w:cs="Times New Roman"/>
          <w:lang w:val="en-US" w:eastAsia="zh-CN"/>
        </w:rPr>
        <w:t>8.4质量保证及质量控制</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0489BE1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1、监测分析方法采用国家和行业标准分析方法，监测人员经过持证上岗考核并持有合格证书，所用监测仪器设备状态正常且均在有效检定周期内。</w:t>
      </w:r>
    </w:p>
    <w:p w14:paraId="2EACB2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kern w:val="2"/>
          <w:sz w:val="24"/>
          <w:szCs w:val="24"/>
          <w:lang w:val="en-US" w:eastAsia="zh-CN" w:bidi="ar-SA"/>
        </w:rPr>
      </w:pPr>
      <w:r>
        <w:rPr>
          <w:rFonts w:hint="default" w:ascii="Times New Roman" w:hAnsi="Times New Roman" w:eastAsia="宋体" w:cs="Times New Roman"/>
          <w:b w:val="0"/>
          <w:kern w:val="2"/>
          <w:sz w:val="24"/>
          <w:szCs w:val="24"/>
          <w:lang w:val="en-US" w:eastAsia="zh-CN" w:bidi="ar-SA"/>
        </w:rPr>
        <w:t>2、气态样品现场采样</w:t>
      </w:r>
      <w:r>
        <w:rPr>
          <w:rFonts w:hint="eastAsia" w:ascii="Times New Roman" w:hAnsi="Times New Roman" w:eastAsia="宋体" w:cs="Times New Roman"/>
          <w:b w:val="0"/>
          <w:kern w:val="2"/>
          <w:sz w:val="24"/>
          <w:szCs w:val="24"/>
          <w:lang w:val="en-US" w:eastAsia="zh-CN" w:bidi="ar-SA"/>
        </w:rPr>
        <w:t>和</w:t>
      </w:r>
      <w:r>
        <w:rPr>
          <w:rFonts w:hint="default" w:ascii="Times New Roman" w:hAnsi="Times New Roman" w:eastAsia="宋体" w:cs="Times New Roman"/>
          <w:b w:val="0"/>
          <w:kern w:val="2"/>
          <w:sz w:val="24"/>
          <w:szCs w:val="24"/>
          <w:lang w:val="en-US" w:eastAsia="zh-CN" w:bidi="ar-SA"/>
        </w:rPr>
        <w:t>测试前、后，仪器使用标准装置进行校准，标准装置经过检定合格并在有效期内，并按照国家标准、技术规范和质量保证的要求进行全过程质量控制。</w:t>
      </w:r>
    </w:p>
    <w:p w14:paraId="6E1AD1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kern w:val="2"/>
          <w:sz w:val="24"/>
          <w:szCs w:val="24"/>
          <w:lang w:val="en-US" w:eastAsia="zh-CN" w:bidi="ar-SA"/>
        </w:rPr>
      </w:pPr>
      <w:r>
        <w:rPr>
          <w:rFonts w:hint="eastAsia" w:ascii="Times New Roman" w:hAnsi="Times New Roman" w:eastAsia="宋体" w:cs="Times New Roman"/>
          <w:b w:val="0"/>
          <w:kern w:val="2"/>
          <w:sz w:val="24"/>
          <w:szCs w:val="24"/>
          <w:lang w:val="en-US" w:eastAsia="zh-CN" w:bidi="ar-SA"/>
        </w:rPr>
        <w:t>3</w:t>
      </w:r>
      <w:r>
        <w:rPr>
          <w:rFonts w:hint="default" w:ascii="Times New Roman" w:hAnsi="Times New Roman" w:eastAsia="宋体" w:cs="Times New Roman"/>
          <w:b w:val="0"/>
          <w:kern w:val="2"/>
          <w:sz w:val="24"/>
          <w:szCs w:val="24"/>
          <w:lang w:val="en-US" w:eastAsia="zh-CN" w:bidi="ar-SA"/>
        </w:rPr>
        <w:t>、在监测期间，样品采集、运输、保存、均按照环境保护部发布的《环境监测质量管理技术导则》（HJ630-2011）和《浙江省环境监测质量保证技术规定》的要求进行。</w:t>
      </w:r>
    </w:p>
    <w:p w14:paraId="04F1CAFE">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r>
        <w:rPr>
          <w:rFonts w:hint="default" w:ascii="Times New Roman" w:hAnsi="Times New Roman" w:eastAsia="宋体" w:cs="Times New Roman"/>
          <w:lang w:val="en-US" w:eastAsia="zh-CN"/>
        </w:rPr>
        <w:t>、监测数据和报告实行三级审核制度。</w:t>
      </w:r>
    </w:p>
    <w:p w14:paraId="62E2D852">
      <w:pPr>
        <w:pStyle w:val="4"/>
        <w:keepNext/>
        <w:keepLines/>
        <w:pageBreakBefore w:val="0"/>
        <w:widowControl w:val="0"/>
        <w:numPr>
          <w:ilvl w:val="0"/>
          <w:numId w:val="0"/>
        </w:numPr>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rPr>
      </w:pPr>
      <w:bookmarkStart w:id="393" w:name="_Toc28416"/>
      <w:bookmarkStart w:id="394" w:name="_Toc10793"/>
      <w:r>
        <w:rPr>
          <w:rFonts w:hint="default" w:ascii="Times New Roman" w:hAnsi="Times New Roman" w:eastAsia="宋体" w:cs="Times New Roman"/>
          <w:lang w:eastAsia="zh-CN"/>
        </w:rPr>
        <w:t>九、验收监测工况</w:t>
      </w:r>
      <w:bookmarkEnd w:id="393"/>
      <w:bookmarkEnd w:id="394"/>
    </w:p>
    <w:p w14:paraId="02BEA19F">
      <w:pPr>
        <w:pStyle w:val="5"/>
        <w:rPr>
          <w:rFonts w:hint="default" w:ascii="Times New Roman" w:hAnsi="Times New Roman" w:eastAsia="宋体" w:cs="Times New Roman"/>
          <w:b w:val="0"/>
          <w:bCs/>
        </w:rPr>
      </w:pPr>
      <w:bookmarkStart w:id="395" w:name="_Toc25350"/>
      <w:bookmarkStart w:id="396" w:name="_Toc497218657"/>
      <w:bookmarkStart w:id="397" w:name="_Toc26066"/>
      <w:bookmarkStart w:id="398" w:name="_Toc28135"/>
      <w:bookmarkStart w:id="399" w:name="_Toc15371"/>
      <w:bookmarkStart w:id="400" w:name="_Toc29337"/>
      <w:bookmarkStart w:id="401" w:name="_Toc5044"/>
      <w:bookmarkStart w:id="402" w:name="_Toc28317"/>
      <w:bookmarkStart w:id="403" w:name="_Toc23157"/>
      <w:bookmarkStart w:id="404" w:name="_Toc21112"/>
      <w:bookmarkStart w:id="405" w:name="_Toc26176"/>
      <w:bookmarkStart w:id="406" w:name="_Toc22235"/>
      <w:bookmarkStart w:id="407" w:name="_Toc24413"/>
      <w:bookmarkStart w:id="408" w:name="_Toc27401"/>
      <w:bookmarkStart w:id="409" w:name="_Toc27943"/>
      <w:bookmarkStart w:id="410" w:name="_Toc15455"/>
      <w:bookmarkStart w:id="411" w:name="_Toc23154"/>
      <w:bookmarkStart w:id="412" w:name="_Toc3546"/>
      <w:bookmarkStart w:id="413" w:name="_Toc24112"/>
      <w:bookmarkStart w:id="414" w:name="_Toc22865"/>
      <w:bookmarkStart w:id="415" w:name="_Toc2546"/>
      <w:bookmarkStart w:id="416" w:name="_Toc8935"/>
      <w:bookmarkStart w:id="417" w:name="_Toc23178"/>
      <w:bookmarkStart w:id="418" w:name="_Toc27694"/>
      <w:bookmarkStart w:id="419" w:name="_Toc27280"/>
      <w:bookmarkStart w:id="420" w:name="_Toc29524"/>
      <w:r>
        <w:rPr>
          <w:rFonts w:hint="eastAsia" w:cs="Times New Roman"/>
          <w:b w:val="0"/>
          <w:bCs/>
          <w:lang w:val="en-US" w:eastAsia="zh-CN"/>
        </w:rPr>
        <w:t>1、</w:t>
      </w:r>
      <w:r>
        <w:rPr>
          <w:rFonts w:hint="default" w:ascii="Times New Roman" w:hAnsi="Times New Roman" w:eastAsia="宋体" w:cs="Times New Roman"/>
          <w:b w:val="0"/>
          <w:bCs/>
        </w:rPr>
        <w:t>验收检测期间运行工况</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22715D24">
      <w:pPr>
        <w:jc w:val="center"/>
        <w:rPr>
          <w:rFonts w:hint="default" w:ascii="宋体" w:hAnsi="宋体" w:eastAsia="宋体" w:cs="宋体"/>
          <w:b w:val="0"/>
          <w:bCs/>
        </w:rPr>
      </w:pPr>
      <w:r>
        <w:rPr>
          <w:rFonts w:hint="default" w:ascii="宋体" w:hAnsi="宋体" w:eastAsia="宋体" w:cs="宋体"/>
          <w:b w:val="0"/>
          <w:bCs/>
        </w:rPr>
        <w:t>表</w:t>
      </w:r>
      <w:r>
        <w:rPr>
          <w:rFonts w:hint="default" w:ascii="宋体" w:hAnsi="宋体" w:eastAsia="宋体" w:cs="宋体"/>
          <w:b w:val="0"/>
          <w:bCs/>
          <w:lang w:val="en-US" w:eastAsia="zh-CN"/>
        </w:rPr>
        <w:t>9</w:t>
      </w:r>
      <w:r>
        <w:rPr>
          <w:rFonts w:hint="default" w:ascii="宋体" w:hAnsi="宋体" w:eastAsia="宋体" w:cs="宋体"/>
          <w:b w:val="0"/>
          <w:bCs/>
        </w:rPr>
        <w:t>-1验收检测期间生产工况</w:t>
      </w:r>
    </w:p>
    <w:tbl>
      <w:tblPr>
        <w:tblStyle w:val="15"/>
        <w:tblpPr w:leftFromText="180" w:rightFromText="180" w:vertAnchor="text" w:horzAnchor="page" w:tblpXSpec="center" w:tblpY="308"/>
        <w:tblOverlap w:val="never"/>
        <w:tblW w:w="7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7"/>
        <w:gridCol w:w="1494"/>
        <w:gridCol w:w="1497"/>
        <w:gridCol w:w="1494"/>
        <w:gridCol w:w="1497"/>
      </w:tblGrid>
      <w:tr w14:paraId="377C6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37" w:type="dxa"/>
            <w:vMerge w:val="restart"/>
            <w:vAlign w:val="center"/>
          </w:tcPr>
          <w:p w14:paraId="05548404">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产品名称</w:t>
            </w:r>
          </w:p>
        </w:tc>
        <w:tc>
          <w:tcPr>
            <w:tcW w:w="2991" w:type="dxa"/>
            <w:gridSpan w:val="2"/>
            <w:vAlign w:val="center"/>
          </w:tcPr>
          <w:p w14:paraId="2808BC18">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2025年6月30日</w:t>
            </w:r>
          </w:p>
        </w:tc>
        <w:tc>
          <w:tcPr>
            <w:tcW w:w="2991" w:type="dxa"/>
            <w:gridSpan w:val="2"/>
            <w:vAlign w:val="center"/>
          </w:tcPr>
          <w:p w14:paraId="413FE3CE">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2025年7月1日</w:t>
            </w:r>
          </w:p>
        </w:tc>
      </w:tr>
      <w:tr w14:paraId="1A849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337" w:type="dxa"/>
            <w:vMerge w:val="continue"/>
            <w:vAlign w:val="center"/>
          </w:tcPr>
          <w:p w14:paraId="23BF759B">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red"/>
                <w:vertAlign w:val="baseline"/>
                <w:lang w:eastAsia="zh-CN"/>
              </w:rPr>
            </w:pPr>
          </w:p>
        </w:tc>
        <w:tc>
          <w:tcPr>
            <w:tcW w:w="1494" w:type="dxa"/>
            <w:vAlign w:val="center"/>
          </w:tcPr>
          <w:p w14:paraId="0DA34EE5">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实际日产量</w:t>
            </w:r>
          </w:p>
        </w:tc>
        <w:tc>
          <w:tcPr>
            <w:tcW w:w="1497" w:type="dxa"/>
            <w:vAlign w:val="center"/>
          </w:tcPr>
          <w:p w14:paraId="32378C17">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c>
          <w:tcPr>
            <w:tcW w:w="1494" w:type="dxa"/>
            <w:vAlign w:val="center"/>
          </w:tcPr>
          <w:p w14:paraId="1B5DF485">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vertAlign w:val="baseline"/>
                <w:lang w:eastAsia="zh-CN"/>
              </w:rPr>
              <w:t>实际日产量</w:t>
            </w:r>
          </w:p>
        </w:tc>
        <w:tc>
          <w:tcPr>
            <w:tcW w:w="1497" w:type="dxa"/>
            <w:vAlign w:val="center"/>
          </w:tcPr>
          <w:p w14:paraId="5C0E2FB2">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r>
      <w:tr w14:paraId="49E97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337" w:type="dxa"/>
            <w:vAlign w:val="center"/>
          </w:tcPr>
          <w:p w14:paraId="35A46769">
            <w:pPr>
              <w:jc w:val="center"/>
              <w:rPr>
                <w:rFonts w:hint="default" w:ascii="宋体" w:hAnsi="宋体" w:eastAsia="宋体" w:cs="宋体"/>
                <w:kern w:val="2"/>
                <w:sz w:val="21"/>
                <w:szCs w:val="21"/>
                <w:lang w:val="en-US" w:eastAsia="zh-CN" w:bidi="ar-SA"/>
              </w:rPr>
            </w:pPr>
            <w:r>
              <w:rPr>
                <w:rFonts w:hint="eastAsia" w:ascii="宋体" w:hAnsi="宋体" w:eastAsia="宋体" w:cs="宋体"/>
                <w:bCs/>
                <w:color w:val="auto"/>
                <w:kern w:val="0"/>
                <w:sz w:val="21"/>
                <w:szCs w:val="21"/>
                <w:highlight w:val="none"/>
                <w:lang w:val="en-US" w:eastAsia="zh-CN" w:bidi="ar-SA"/>
              </w:rPr>
              <w:t>塑料袋</w:t>
            </w:r>
          </w:p>
        </w:tc>
        <w:tc>
          <w:tcPr>
            <w:tcW w:w="1494" w:type="dxa"/>
            <w:vAlign w:val="center"/>
          </w:tcPr>
          <w:p w14:paraId="36C0DD5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9000只</w:t>
            </w:r>
          </w:p>
        </w:tc>
        <w:tc>
          <w:tcPr>
            <w:tcW w:w="1497" w:type="dxa"/>
            <w:vAlign w:val="center"/>
          </w:tcPr>
          <w:p w14:paraId="6FDDEA1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90</w:t>
            </w:r>
            <w:r>
              <w:rPr>
                <w:rFonts w:hint="default" w:ascii="宋体" w:hAnsi="宋体" w:eastAsia="宋体" w:cs="宋体"/>
                <w:bCs/>
                <w:color w:val="auto"/>
                <w:kern w:val="0"/>
                <w:sz w:val="21"/>
                <w:szCs w:val="21"/>
                <w:highlight w:val="none"/>
                <w:vertAlign w:val="baseline"/>
                <w:lang w:val="en-US" w:eastAsia="zh-CN"/>
              </w:rPr>
              <w:t>%</w:t>
            </w:r>
          </w:p>
        </w:tc>
        <w:tc>
          <w:tcPr>
            <w:tcW w:w="1494" w:type="dxa"/>
            <w:vAlign w:val="center"/>
          </w:tcPr>
          <w:p w14:paraId="2C97E6B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9500只</w:t>
            </w:r>
          </w:p>
        </w:tc>
        <w:tc>
          <w:tcPr>
            <w:tcW w:w="1497" w:type="dxa"/>
            <w:vAlign w:val="center"/>
          </w:tcPr>
          <w:p w14:paraId="2903255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95</w:t>
            </w:r>
            <w:r>
              <w:rPr>
                <w:rFonts w:hint="default" w:ascii="宋体" w:hAnsi="宋体" w:eastAsia="宋体" w:cs="宋体"/>
                <w:bCs/>
                <w:color w:val="auto"/>
                <w:kern w:val="0"/>
                <w:sz w:val="21"/>
                <w:szCs w:val="21"/>
                <w:highlight w:val="none"/>
                <w:vertAlign w:val="baseline"/>
                <w:lang w:val="en-US" w:eastAsia="zh-CN"/>
              </w:rPr>
              <w:t>%</w:t>
            </w:r>
          </w:p>
        </w:tc>
      </w:tr>
    </w:tbl>
    <w:p w14:paraId="53AB25B6">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注：按实际年产300万只塑料袋核算。</w:t>
      </w:r>
    </w:p>
    <w:p w14:paraId="33014757">
      <w:pPr>
        <w:pStyle w:val="5"/>
        <w:rPr>
          <w:rFonts w:hint="eastAsia" w:ascii="Times New Roman" w:hAnsi="Times New Roman" w:eastAsia="宋体" w:cs="Times New Roman"/>
          <w:b w:val="0"/>
          <w:bCs/>
          <w:lang w:val="en-US" w:eastAsia="zh-CN"/>
        </w:rPr>
      </w:pPr>
      <w:bookmarkStart w:id="421" w:name="_Toc25260"/>
      <w:bookmarkStart w:id="422" w:name="_Toc19828"/>
      <w:bookmarkStart w:id="423" w:name="_Toc26102"/>
      <w:bookmarkStart w:id="424" w:name="_Toc9478"/>
      <w:bookmarkStart w:id="425" w:name="_Toc30118"/>
      <w:bookmarkStart w:id="426" w:name="_Toc21547"/>
      <w:bookmarkStart w:id="427" w:name="_Toc11008"/>
      <w:bookmarkStart w:id="428" w:name="_Toc9097"/>
      <w:bookmarkStart w:id="429" w:name="_Toc2128"/>
      <w:bookmarkStart w:id="430" w:name="_Toc3349"/>
      <w:bookmarkStart w:id="431" w:name="_Toc14505"/>
      <w:bookmarkStart w:id="432" w:name="_Toc31475"/>
      <w:bookmarkStart w:id="433" w:name="_Toc2326"/>
      <w:bookmarkStart w:id="434" w:name="_Toc22579"/>
      <w:bookmarkStart w:id="435" w:name="_Toc31278"/>
      <w:bookmarkStart w:id="436" w:name="_Toc2842"/>
      <w:bookmarkStart w:id="437" w:name="_Toc28705"/>
      <w:bookmarkStart w:id="438" w:name="_Toc19106"/>
      <w:bookmarkStart w:id="439" w:name="_Toc21925"/>
      <w:bookmarkStart w:id="440" w:name="_Toc11404"/>
      <w:bookmarkStart w:id="441" w:name="_Toc15873"/>
      <w:r>
        <w:rPr>
          <w:rFonts w:hint="eastAsia" w:ascii="Times New Roman" w:hAnsi="Times New Roman" w:cs="Times New Roman"/>
          <w:b w:val="0"/>
          <w:bCs/>
          <w:lang w:val="en-US" w:eastAsia="zh-CN"/>
        </w:rPr>
        <w:t>2、</w:t>
      </w:r>
      <w:r>
        <w:rPr>
          <w:rFonts w:hint="default" w:ascii="Times New Roman" w:hAnsi="Times New Roman" w:eastAsia="宋体" w:cs="Times New Roman"/>
          <w:b w:val="0"/>
          <w:bCs/>
          <w:lang w:val="en-US" w:eastAsia="zh-CN"/>
        </w:rPr>
        <w:t>污染物达标排</w:t>
      </w:r>
      <w:r>
        <w:rPr>
          <w:rFonts w:hint="eastAsia" w:ascii="Times New Roman" w:hAnsi="Times New Roman" w:eastAsia="宋体" w:cs="Times New Roman"/>
          <w:b w:val="0"/>
          <w:bCs/>
          <w:lang w:val="en-US" w:eastAsia="zh-CN"/>
        </w:rPr>
        <w:t>放监测结果</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0541DA34">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textAlignment w:val="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（1）生活污水</w:t>
      </w:r>
    </w:p>
    <w:p w14:paraId="325E591B">
      <w:pPr>
        <w:adjustRightInd w:val="0"/>
        <w:snapToGrid w:val="0"/>
        <w:spacing w:line="360" w:lineRule="auto"/>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企业厂区内不单独设置厕所、化粪池，员工使用村集中公共卫生间，由村委集中统一清运。不具备采样条件，无法检测。</w:t>
      </w:r>
    </w:p>
    <w:p w14:paraId="063B7BB3">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（2）废气监测结果</w:t>
      </w:r>
    </w:p>
    <w:p w14:paraId="1FACBA39">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default" w:ascii="宋体" w:hAnsi="宋体" w:eastAsia="宋体" w:cs="宋体"/>
          <w:b w:val="0"/>
          <w:bCs/>
          <w:sz w:val="24"/>
          <w:szCs w:val="24"/>
          <w:lang w:val="en-US" w:eastAsia="zh-CN"/>
        </w:rPr>
      </w:pPr>
      <w:r>
        <w:rPr>
          <w:rFonts w:hint="eastAsia" w:ascii="宋体" w:hAnsi="宋体" w:eastAsia="宋体" w:cs="宋体"/>
          <w:b w:val="0"/>
          <w:bCs/>
        </w:rPr>
        <w:t>表</w:t>
      </w:r>
      <w:r>
        <w:rPr>
          <w:rFonts w:hint="eastAsia" w:ascii="宋体" w:hAnsi="宋体" w:eastAsia="宋体" w:cs="宋体"/>
          <w:b w:val="0"/>
          <w:bCs/>
          <w:lang w:val="en-US" w:eastAsia="zh-CN"/>
        </w:rPr>
        <w:t>9-2</w:t>
      </w:r>
      <w:r>
        <w:rPr>
          <w:rFonts w:hint="eastAsia" w:ascii="宋体" w:hAnsi="宋体" w:eastAsia="宋体" w:cs="宋体"/>
          <w:b w:val="0"/>
          <w:bCs/>
        </w:rPr>
        <w:t>废</w:t>
      </w:r>
      <w:r>
        <w:rPr>
          <w:rFonts w:hint="eastAsia" w:ascii="宋体" w:hAnsi="宋体" w:eastAsia="宋体" w:cs="宋体"/>
          <w:b w:val="0"/>
          <w:bCs/>
          <w:lang w:val="en-US" w:eastAsia="zh-CN"/>
        </w:rPr>
        <w:t>气有组织</w:t>
      </w:r>
      <w:r>
        <w:rPr>
          <w:rFonts w:hint="eastAsia" w:ascii="宋体" w:hAnsi="宋体" w:eastAsia="宋体" w:cs="宋体"/>
          <w:b w:val="0"/>
          <w:bCs/>
        </w:rPr>
        <w:t>检测结果</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0"/>
      </w:tblGrid>
      <w:tr w14:paraId="5456D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8" w:hRule="atLeast"/>
        </w:trPr>
        <w:tc>
          <w:tcPr>
            <w:tcW w:w="8300" w:type="dxa"/>
          </w:tcPr>
          <w:p w14:paraId="17C833B4">
            <w:pPr>
              <w:spacing w:line="360" w:lineRule="auto"/>
              <w:jc w:val="center"/>
              <w:rPr>
                <w:rFonts w:hint="default" w:ascii="Times New Roman" w:hAnsi="Times New Roman" w:eastAsia="宋体" w:cs="Times New Roman"/>
                <w:b/>
                <w:spacing w:val="-2"/>
                <w:sz w:val="18"/>
                <w:szCs w:val="18"/>
              </w:rPr>
            </w:pPr>
            <w:r>
              <w:rPr>
                <w:rFonts w:hint="default" w:ascii="Times New Roman" w:hAnsi="Times New Roman" w:eastAsia="宋体" w:cs="Times New Roman"/>
                <w:b/>
                <w:spacing w:val="-2"/>
                <w:sz w:val="18"/>
                <w:szCs w:val="18"/>
              </w:rPr>
              <w:t>表</w:t>
            </w:r>
            <w:r>
              <w:rPr>
                <w:rFonts w:hint="eastAsia" w:cs="Times New Roman"/>
                <w:b/>
                <w:spacing w:val="-2"/>
                <w:sz w:val="18"/>
                <w:szCs w:val="18"/>
                <w:lang w:val="en-US" w:eastAsia="zh-CN"/>
              </w:rPr>
              <w:t>1</w:t>
            </w:r>
            <w:r>
              <w:rPr>
                <w:rFonts w:hint="default" w:ascii="Times New Roman" w:hAnsi="Times New Roman" w:eastAsia="宋体" w:cs="Times New Roman"/>
                <w:b/>
                <w:spacing w:val="-2"/>
                <w:sz w:val="18"/>
                <w:szCs w:val="18"/>
              </w:rPr>
              <w:t>有组织废气检测结果</w:t>
            </w:r>
            <w:r>
              <w:rPr>
                <w:rFonts w:hint="default" w:ascii="Times New Roman" w:hAnsi="Times New Roman" w:eastAsia="宋体" w:cs="Times New Roman"/>
                <w:sz w:val="18"/>
                <w:szCs w:val="18"/>
              </w:rPr>
              <w:t>202</w:t>
            </w:r>
            <w:r>
              <w:rPr>
                <w:rFonts w:hint="eastAsia" w:cs="Times New Roman"/>
                <w:sz w:val="18"/>
                <w:szCs w:val="18"/>
                <w:lang w:val="en-US" w:eastAsia="zh-CN"/>
              </w:rPr>
              <w:t>5.06.30</w:t>
            </w:r>
          </w:p>
          <w:tbl>
            <w:tblPr>
              <w:tblStyle w:val="14"/>
              <w:tblW w:w="8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703"/>
              <w:gridCol w:w="941"/>
              <w:gridCol w:w="941"/>
              <w:gridCol w:w="425"/>
              <w:gridCol w:w="537"/>
              <w:gridCol w:w="941"/>
              <w:gridCol w:w="641"/>
              <w:gridCol w:w="325"/>
              <w:gridCol w:w="843"/>
              <w:gridCol w:w="118"/>
              <w:gridCol w:w="838"/>
            </w:tblGrid>
            <w:tr w14:paraId="78A61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exact"/>
                <w:jc w:val="center"/>
              </w:trPr>
              <w:tc>
                <w:tcPr>
                  <w:tcW w:w="1668" w:type="dxa"/>
                  <w:gridSpan w:val="2"/>
                  <w:noWrap w:val="0"/>
                  <w:vAlign w:val="center"/>
                </w:tcPr>
                <w:p w14:paraId="28982890">
                  <w:pPr>
                    <w:pStyle w:val="23"/>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采样点位</w:t>
                  </w:r>
                </w:p>
              </w:tc>
              <w:tc>
                <w:tcPr>
                  <w:tcW w:w="2307" w:type="dxa"/>
                  <w:gridSpan w:val="3"/>
                  <w:noWrap w:val="0"/>
                  <w:vAlign w:val="center"/>
                </w:tcPr>
                <w:p w14:paraId="62A5449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2"/>
                      <w:sz w:val="18"/>
                      <w:szCs w:val="18"/>
                      <w:u w:val="none"/>
                      <w:lang w:val="en-US" w:eastAsia="zh-CN" w:bidi="ar-SA"/>
                    </w:rPr>
                    <w:t>吹膜、制袋、印刷进</w:t>
                  </w:r>
                  <w:r>
                    <w:rPr>
                      <w:rFonts w:hint="eastAsia" w:cs="Times New Roman"/>
                      <w:i w:val="0"/>
                      <w:iCs w:val="0"/>
                      <w:color w:val="000000"/>
                      <w:kern w:val="2"/>
                      <w:sz w:val="18"/>
                      <w:szCs w:val="18"/>
                      <w:u w:val="none"/>
                      <w:lang w:val="en-US" w:eastAsia="zh-CN" w:bidi="ar-SA"/>
                    </w:rPr>
                    <w:t>、出</w:t>
                  </w:r>
                  <w:r>
                    <w:rPr>
                      <w:rFonts w:hint="default" w:ascii="Times New Roman" w:hAnsi="Times New Roman" w:eastAsia="宋体" w:cs="Times New Roman"/>
                      <w:i w:val="0"/>
                      <w:iCs w:val="0"/>
                      <w:color w:val="000000"/>
                      <w:kern w:val="2"/>
                      <w:sz w:val="18"/>
                      <w:szCs w:val="18"/>
                      <w:u w:val="none"/>
                      <w:lang w:val="en-US" w:eastAsia="zh-CN" w:bidi="ar-SA"/>
                    </w:rPr>
                    <w:t>口</w:t>
                  </w:r>
                </w:p>
              </w:tc>
              <w:tc>
                <w:tcPr>
                  <w:tcW w:w="2119" w:type="dxa"/>
                  <w:gridSpan w:val="3"/>
                  <w:noWrap w:val="0"/>
                  <w:vAlign w:val="center"/>
                </w:tcPr>
                <w:p w14:paraId="64EDB7BD">
                  <w:pPr>
                    <w:pStyle w:val="23"/>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废气处理设施</w:t>
                  </w:r>
                </w:p>
              </w:tc>
              <w:tc>
                <w:tcPr>
                  <w:tcW w:w="2124" w:type="dxa"/>
                  <w:gridSpan w:val="4"/>
                  <w:noWrap w:val="0"/>
                  <w:vAlign w:val="center"/>
                </w:tcPr>
                <w:p w14:paraId="568A432C">
                  <w:pPr>
                    <w:pStyle w:val="23"/>
                    <w:tabs>
                      <w:tab w:val="center" w:pos="1222"/>
                      <w:tab w:val="right" w:pos="2325"/>
                    </w:tabs>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活性炭</w:t>
                  </w:r>
                </w:p>
              </w:tc>
            </w:tr>
            <w:tr w14:paraId="4581B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668" w:type="dxa"/>
                  <w:gridSpan w:val="2"/>
                  <w:vMerge w:val="restart"/>
                  <w:noWrap w:val="0"/>
                  <w:vAlign w:val="center"/>
                </w:tcPr>
                <w:p w14:paraId="5E187CA1">
                  <w:pPr>
                    <w:pStyle w:val="23"/>
                    <w:ind w:firstLine="0" w:firstLineChars="0"/>
                    <w:jc w:val="center"/>
                    <w:rPr>
                      <w:rFonts w:hint="default" w:ascii="Times New Roman" w:hAnsi="Times New Roman" w:eastAsia="宋体" w:cs="Times New Roman"/>
                      <w:b/>
                      <w:sz w:val="18"/>
                      <w:szCs w:val="18"/>
                    </w:rPr>
                  </w:pPr>
                  <w:r>
                    <w:rPr>
                      <w:rFonts w:hint="default" w:ascii="Times New Roman" w:hAnsi="Times New Roman" w:eastAsia="宋体" w:cs="Times New Roman"/>
                      <w:sz w:val="18"/>
                      <w:szCs w:val="18"/>
                    </w:rPr>
                    <w:t>排气筒高度(m)</w:t>
                  </w:r>
                </w:p>
              </w:tc>
              <w:tc>
                <w:tcPr>
                  <w:tcW w:w="2307" w:type="dxa"/>
                  <w:gridSpan w:val="3"/>
                  <w:vMerge w:val="restart"/>
                  <w:noWrap w:val="0"/>
                  <w:vAlign w:val="center"/>
                </w:tcPr>
                <w:p w14:paraId="49F3C6ED">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15</w:t>
                  </w:r>
                </w:p>
              </w:tc>
              <w:tc>
                <w:tcPr>
                  <w:tcW w:w="2119" w:type="dxa"/>
                  <w:gridSpan w:val="3"/>
                  <w:vMerge w:val="restart"/>
                  <w:noWrap w:val="0"/>
                  <w:vAlign w:val="center"/>
                </w:tcPr>
                <w:p w14:paraId="20F48D89">
                  <w:pPr>
                    <w:pStyle w:val="23"/>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采样管道截面积(m</w:t>
                  </w:r>
                  <w:r>
                    <w:rPr>
                      <w:rFonts w:hint="default" w:ascii="Times New Roman" w:hAnsi="Times New Roman" w:eastAsia="宋体" w:cs="Times New Roman"/>
                      <w:sz w:val="18"/>
                      <w:szCs w:val="18"/>
                      <w:highlight w:val="none"/>
                      <w:vertAlign w:val="superscript"/>
                    </w:rPr>
                    <w:t>2</w:t>
                  </w:r>
                  <w:r>
                    <w:rPr>
                      <w:rFonts w:hint="default" w:ascii="Times New Roman" w:hAnsi="Times New Roman" w:eastAsia="宋体" w:cs="Times New Roman"/>
                      <w:sz w:val="18"/>
                      <w:szCs w:val="18"/>
                      <w:highlight w:val="none"/>
                    </w:rPr>
                    <w:t>)</w:t>
                  </w:r>
                </w:p>
              </w:tc>
              <w:tc>
                <w:tcPr>
                  <w:tcW w:w="1168" w:type="dxa"/>
                  <w:gridSpan w:val="2"/>
                  <w:noWrap w:val="0"/>
                  <w:vAlign w:val="center"/>
                </w:tcPr>
                <w:p w14:paraId="537E36F2">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进口</w:t>
                  </w:r>
                </w:p>
              </w:tc>
              <w:tc>
                <w:tcPr>
                  <w:tcW w:w="956" w:type="dxa"/>
                  <w:gridSpan w:val="2"/>
                  <w:noWrap w:val="0"/>
                  <w:vAlign w:val="center"/>
                </w:tcPr>
                <w:p w14:paraId="5E647857">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出口</w:t>
                  </w:r>
                </w:p>
              </w:tc>
            </w:tr>
            <w:tr w14:paraId="062BF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668" w:type="dxa"/>
                  <w:gridSpan w:val="2"/>
                  <w:vMerge w:val="continue"/>
                  <w:noWrap w:val="0"/>
                  <w:vAlign w:val="center"/>
                </w:tcPr>
                <w:p w14:paraId="03494E3F">
                  <w:pPr>
                    <w:pStyle w:val="23"/>
                    <w:ind w:firstLine="0" w:firstLineChars="0"/>
                    <w:jc w:val="center"/>
                    <w:rPr>
                      <w:sz w:val="18"/>
                      <w:szCs w:val="18"/>
                    </w:rPr>
                  </w:pPr>
                </w:p>
              </w:tc>
              <w:tc>
                <w:tcPr>
                  <w:tcW w:w="2307" w:type="dxa"/>
                  <w:gridSpan w:val="3"/>
                  <w:vMerge w:val="continue"/>
                  <w:noWrap w:val="0"/>
                  <w:vAlign w:val="center"/>
                </w:tcPr>
                <w:p w14:paraId="51680E26">
                  <w:pPr>
                    <w:pStyle w:val="23"/>
                    <w:ind w:firstLine="0" w:firstLineChars="0"/>
                    <w:jc w:val="center"/>
                    <w:rPr>
                      <w:sz w:val="18"/>
                      <w:szCs w:val="18"/>
                    </w:rPr>
                  </w:pPr>
                </w:p>
              </w:tc>
              <w:tc>
                <w:tcPr>
                  <w:tcW w:w="2119" w:type="dxa"/>
                  <w:gridSpan w:val="3"/>
                  <w:vMerge w:val="continue"/>
                  <w:noWrap w:val="0"/>
                  <w:vAlign w:val="center"/>
                </w:tcPr>
                <w:p w14:paraId="7A6DAEC3">
                  <w:pPr>
                    <w:pStyle w:val="23"/>
                    <w:ind w:firstLine="0" w:firstLineChars="0"/>
                    <w:jc w:val="center"/>
                    <w:rPr>
                      <w:sz w:val="18"/>
                      <w:szCs w:val="18"/>
                    </w:rPr>
                  </w:pPr>
                </w:p>
              </w:tc>
              <w:tc>
                <w:tcPr>
                  <w:tcW w:w="1168" w:type="dxa"/>
                  <w:gridSpan w:val="2"/>
                  <w:noWrap w:val="0"/>
                  <w:vAlign w:val="center"/>
                </w:tcPr>
                <w:p w14:paraId="04A5D46E">
                  <w:pPr>
                    <w:pStyle w:val="23"/>
                    <w:ind w:firstLine="0" w:firstLineChars="0"/>
                    <w:jc w:val="center"/>
                    <w:rPr>
                      <w:rFonts w:hint="default" w:eastAsia="宋体"/>
                      <w:sz w:val="18"/>
                      <w:szCs w:val="18"/>
                      <w:lang w:val="en-US" w:eastAsia="zh-CN"/>
                    </w:rPr>
                  </w:pPr>
                  <w:r>
                    <w:rPr>
                      <w:rFonts w:hint="eastAsia"/>
                      <w:sz w:val="18"/>
                      <w:szCs w:val="18"/>
                      <w:lang w:val="en-US" w:eastAsia="zh-CN"/>
                    </w:rPr>
                    <w:t>0.240</w:t>
                  </w:r>
                </w:p>
              </w:tc>
              <w:tc>
                <w:tcPr>
                  <w:tcW w:w="956" w:type="dxa"/>
                  <w:gridSpan w:val="2"/>
                  <w:noWrap w:val="0"/>
                  <w:vAlign w:val="center"/>
                </w:tcPr>
                <w:p w14:paraId="28AFACF8">
                  <w:pPr>
                    <w:pStyle w:val="23"/>
                    <w:ind w:firstLine="0" w:firstLineChars="0"/>
                    <w:jc w:val="center"/>
                    <w:rPr>
                      <w:rFonts w:hint="default" w:eastAsia="宋体"/>
                      <w:sz w:val="18"/>
                      <w:szCs w:val="18"/>
                      <w:lang w:val="en-US" w:eastAsia="zh-CN"/>
                    </w:rPr>
                  </w:pPr>
                  <w:r>
                    <w:rPr>
                      <w:rFonts w:hint="eastAsia"/>
                      <w:sz w:val="18"/>
                      <w:szCs w:val="18"/>
                      <w:lang w:val="en-US" w:eastAsia="zh-CN"/>
                    </w:rPr>
                    <w:t>0.283</w:t>
                  </w:r>
                </w:p>
              </w:tc>
            </w:tr>
            <w:tr w14:paraId="7CEF4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965" w:type="dxa"/>
                  <w:vMerge w:val="restart"/>
                  <w:noWrap w:val="0"/>
                  <w:vAlign w:val="center"/>
                </w:tcPr>
                <w:p w14:paraId="6A947BA5">
                  <w:pPr>
                    <w:pStyle w:val="23"/>
                    <w:ind w:firstLine="0" w:firstLineChars="0"/>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检测项目</w:t>
                  </w:r>
                </w:p>
              </w:tc>
              <w:tc>
                <w:tcPr>
                  <w:tcW w:w="703" w:type="dxa"/>
                  <w:vMerge w:val="restart"/>
                  <w:noWrap w:val="0"/>
                  <w:vAlign w:val="center"/>
                </w:tcPr>
                <w:p w14:paraId="7A3B4DEE">
                  <w:pPr>
                    <w:pStyle w:val="23"/>
                    <w:ind w:firstLine="0" w:firstLineChars="0"/>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单位</w:t>
                  </w:r>
                </w:p>
              </w:tc>
              <w:tc>
                <w:tcPr>
                  <w:tcW w:w="6550" w:type="dxa"/>
                  <w:gridSpan w:val="10"/>
                  <w:noWrap w:val="0"/>
                  <w:vAlign w:val="center"/>
                </w:tcPr>
                <w:p w14:paraId="2048E084">
                  <w:pPr>
                    <w:pStyle w:val="23"/>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202</w:t>
                  </w:r>
                  <w:r>
                    <w:rPr>
                      <w:rFonts w:hint="eastAsia" w:cs="Times New Roman"/>
                      <w:sz w:val="18"/>
                      <w:szCs w:val="18"/>
                      <w:lang w:val="en-US" w:eastAsia="zh-CN"/>
                    </w:rPr>
                    <w:t>5.06.30</w:t>
                  </w:r>
                  <w:r>
                    <w:rPr>
                      <w:rFonts w:hint="default" w:ascii="Times New Roman" w:hAnsi="Times New Roman" w:eastAsia="宋体" w:cs="Times New Roman"/>
                      <w:sz w:val="18"/>
                      <w:szCs w:val="18"/>
                    </w:rPr>
                    <w:t>测定值</w:t>
                  </w:r>
                </w:p>
              </w:tc>
            </w:tr>
            <w:tr w14:paraId="171E0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blHeader/>
                <w:jc w:val="center"/>
              </w:trPr>
              <w:tc>
                <w:tcPr>
                  <w:tcW w:w="965" w:type="dxa"/>
                  <w:vMerge w:val="continue"/>
                  <w:noWrap w:val="0"/>
                  <w:vAlign w:val="center"/>
                </w:tcPr>
                <w:p w14:paraId="4A4C27FD">
                  <w:pPr>
                    <w:pStyle w:val="23"/>
                    <w:ind w:firstLine="0" w:firstLineChars="0"/>
                    <w:jc w:val="center"/>
                    <w:rPr>
                      <w:sz w:val="18"/>
                      <w:szCs w:val="18"/>
                    </w:rPr>
                  </w:pPr>
                </w:p>
              </w:tc>
              <w:tc>
                <w:tcPr>
                  <w:tcW w:w="703" w:type="dxa"/>
                  <w:vMerge w:val="continue"/>
                  <w:noWrap w:val="0"/>
                  <w:vAlign w:val="center"/>
                </w:tcPr>
                <w:p w14:paraId="24CB4D41">
                  <w:pPr>
                    <w:pStyle w:val="23"/>
                    <w:ind w:firstLine="0" w:firstLineChars="0"/>
                    <w:jc w:val="center"/>
                    <w:rPr>
                      <w:sz w:val="18"/>
                      <w:szCs w:val="18"/>
                    </w:rPr>
                  </w:pPr>
                </w:p>
              </w:tc>
              <w:tc>
                <w:tcPr>
                  <w:tcW w:w="2844" w:type="dxa"/>
                  <w:gridSpan w:val="4"/>
                  <w:noWrap w:val="0"/>
                  <w:vAlign w:val="center"/>
                </w:tcPr>
                <w:p w14:paraId="260A3C3C">
                  <w:pPr>
                    <w:pStyle w:val="23"/>
                    <w:ind w:firstLine="0" w:firstLineChars="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进口</w:t>
                  </w:r>
                </w:p>
              </w:tc>
              <w:tc>
                <w:tcPr>
                  <w:tcW w:w="3706" w:type="dxa"/>
                  <w:gridSpan w:val="6"/>
                  <w:noWrap w:val="0"/>
                  <w:vAlign w:val="center"/>
                </w:tcPr>
                <w:p w14:paraId="2E62F570">
                  <w:pPr>
                    <w:pStyle w:val="23"/>
                    <w:ind w:firstLine="0" w:firstLineChars="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出口</w:t>
                  </w:r>
                </w:p>
              </w:tc>
            </w:tr>
            <w:tr w14:paraId="31BF9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exact"/>
                <w:jc w:val="center"/>
              </w:trPr>
              <w:tc>
                <w:tcPr>
                  <w:tcW w:w="965" w:type="dxa"/>
                  <w:vMerge w:val="continue"/>
                  <w:noWrap w:val="0"/>
                  <w:vAlign w:val="center"/>
                </w:tcPr>
                <w:p w14:paraId="49D9E611">
                  <w:pPr>
                    <w:pStyle w:val="23"/>
                    <w:ind w:firstLine="0" w:firstLineChars="0"/>
                    <w:jc w:val="center"/>
                    <w:rPr>
                      <w:rFonts w:hint="default" w:ascii="Times New Roman" w:hAnsi="Times New Roman" w:eastAsia="宋体" w:cs="Times New Roman"/>
                      <w:b/>
                      <w:sz w:val="18"/>
                      <w:szCs w:val="18"/>
                    </w:rPr>
                  </w:pPr>
                </w:p>
              </w:tc>
              <w:tc>
                <w:tcPr>
                  <w:tcW w:w="703" w:type="dxa"/>
                  <w:vMerge w:val="continue"/>
                  <w:noWrap w:val="0"/>
                  <w:vAlign w:val="center"/>
                </w:tcPr>
                <w:p w14:paraId="3A6FC400">
                  <w:pPr>
                    <w:pStyle w:val="23"/>
                    <w:ind w:firstLine="0" w:firstLineChars="0"/>
                    <w:jc w:val="center"/>
                    <w:rPr>
                      <w:rFonts w:hint="default" w:ascii="Times New Roman" w:hAnsi="Times New Roman" w:eastAsia="宋体" w:cs="Times New Roman"/>
                      <w:b/>
                      <w:sz w:val="18"/>
                      <w:szCs w:val="18"/>
                    </w:rPr>
                  </w:pPr>
                </w:p>
              </w:tc>
              <w:tc>
                <w:tcPr>
                  <w:tcW w:w="941" w:type="dxa"/>
                  <w:noWrap w:val="0"/>
                  <w:vAlign w:val="center"/>
                </w:tcPr>
                <w:p w14:paraId="272182EB">
                  <w:pPr>
                    <w:pStyle w:val="23"/>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第一次</w:t>
                  </w:r>
                </w:p>
              </w:tc>
              <w:tc>
                <w:tcPr>
                  <w:tcW w:w="941" w:type="dxa"/>
                  <w:noWrap w:val="0"/>
                  <w:vAlign w:val="center"/>
                </w:tcPr>
                <w:p w14:paraId="19666590">
                  <w:pPr>
                    <w:pStyle w:val="23"/>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第二次</w:t>
                  </w:r>
                </w:p>
              </w:tc>
              <w:tc>
                <w:tcPr>
                  <w:tcW w:w="962" w:type="dxa"/>
                  <w:gridSpan w:val="2"/>
                  <w:noWrap w:val="0"/>
                  <w:vAlign w:val="center"/>
                </w:tcPr>
                <w:p w14:paraId="5A7C513A">
                  <w:pPr>
                    <w:pStyle w:val="23"/>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第三次</w:t>
                  </w:r>
                </w:p>
              </w:tc>
              <w:tc>
                <w:tcPr>
                  <w:tcW w:w="941" w:type="dxa"/>
                  <w:noWrap w:val="0"/>
                  <w:vAlign w:val="center"/>
                </w:tcPr>
                <w:p w14:paraId="7C103BF1">
                  <w:pPr>
                    <w:pStyle w:val="23"/>
                    <w:ind w:firstLine="0" w:firstLine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第一次</w:t>
                  </w:r>
                </w:p>
              </w:tc>
              <w:tc>
                <w:tcPr>
                  <w:tcW w:w="966" w:type="dxa"/>
                  <w:gridSpan w:val="2"/>
                  <w:noWrap w:val="0"/>
                  <w:vAlign w:val="center"/>
                </w:tcPr>
                <w:p w14:paraId="19B69743">
                  <w:pPr>
                    <w:pStyle w:val="23"/>
                    <w:ind w:firstLine="0" w:firstLine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第二次</w:t>
                  </w:r>
                </w:p>
              </w:tc>
              <w:tc>
                <w:tcPr>
                  <w:tcW w:w="961" w:type="dxa"/>
                  <w:gridSpan w:val="2"/>
                  <w:noWrap w:val="0"/>
                  <w:vAlign w:val="center"/>
                </w:tcPr>
                <w:p w14:paraId="60286A3D">
                  <w:pPr>
                    <w:pStyle w:val="23"/>
                    <w:ind w:firstLine="0" w:firstLine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第三次</w:t>
                  </w:r>
                </w:p>
              </w:tc>
              <w:tc>
                <w:tcPr>
                  <w:tcW w:w="838" w:type="dxa"/>
                  <w:noWrap w:val="0"/>
                  <w:vAlign w:val="center"/>
                </w:tcPr>
                <w:p w14:paraId="12A31E34">
                  <w:pPr>
                    <w:pStyle w:val="23"/>
                    <w:ind w:firstLine="0" w:firstLineChars="0"/>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限值</w:t>
                  </w:r>
                </w:p>
              </w:tc>
            </w:tr>
            <w:tr w14:paraId="7A61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exact"/>
                <w:jc w:val="center"/>
              </w:trPr>
              <w:tc>
                <w:tcPr>
                  <w:tcW w:w="965" w:type="dxa"/>
                  <w:noWrap w:val="0"/>
                  <w:vAlign w:val="center"/>
                </w:tcPr>
                <w:p w14:paraId="599A8F07">
                  <w:pPr>
                    <w:pStyle w:val="23"/>
                    <w:ind w:left="-120" w:leftChars="-50" w:right="-120" w:rightChars="-50"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排气温度</w:t>
                  </w:r>
                </w:p>
              </w:tc>
              <w:tc>
                <w:tcPr>
                  <w:tcW w:w="703" w:type="dxa"/>
                  <w:noWrap w:val="0"/>
                  <w:vAlign w:val="center"/>
                </w:tcPr>
                <w:p w14:paraId="747D0D5A">
                  <w:pPr>
                    <w:pStyle w:val="23"/>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941" w:type="dxa"/>
                  <w:noWrap w:val="0"/>
                  <w:vAlign w:val="center"/>
                </w:tcPr>
                <w:p w14:paraId="6E354E06">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32.9</w:t>
                  </w:r>
                </w:p>
              </w:tc>
              <w:tc>
                <w:tcPr>
                  <w:tcW w:w="941" w:type="dxa"/>
                  <w:noWrap w:val="0"/>
                  <w:vAlign w:val="center"/>
                </w:tcPr>
                <w:p w14:paraId="3BB7E9B1">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33.8</w:t>
                  </w:r>
                </w:p>
              </w:tc>
              <w:tc>
                <w:tcPr>
                  <w:tcW w:w="962" w:type="dxa"/>
                  <w:gridSpan w:val="2"/>
                  <w:noWrap w:val="0"/>
                  <w:vAlign w:val="center"/>
                </w:tcPr>
                <w:p w14:paraId="708672D1">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33.8</w:t>
                  </w:r>
                </w:p>
              </w:tc>
              <w:tc>
                <w:tcPr>
                  <w:tcW w:w="941" w:type="dxa"/>
                  <w:noWrap w:val="0"/>
                  <w:vAlign w:val="center"/>
                </w:tcPr>
                <w:p w14:paraId="3FBECD68">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33.8</w:t>
                  </w:r>
                </w:p>
              </w:tc>
              <w:tc>
                <w:tcPr>
                  <w:tcW w:w="966" w:type="dxa"/>
                  <w:gridSpan w:val="2"/>
                  <w:noWrap w:val="0"/>
                  <w:vAlign w:val="center"/>
                </w:tcPr>
                <w:p w14:paraId="1F3BFDFC">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34.6</w:t>
                  </w:r>
                </w:p>
              </w:tc>
              <w:tc>
                <w:tcPr>
                  <w:tcW w:w="961" w:type="dxa"/>
                  <w:gridSpan w:val="2"/>
                  <w:noWrap w:val="0"/>
                  <w:vAlign w:val="center"/>
                </w:tcPr>
                <w:p w14:paraId="167F777C">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34.6</w:t>
                  </w:r>
                </w:p>
              </w:tc>
              <w:tc>
                <w:tcPr>
                  <w:tcW w:w="838" w:type="dxa"/>
                  <w:noWrap w:val="0"/>
                  <w:vAlign w:val="center"/>
                </w:tcPr>
                <w:p w14:paraId="7828285E">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w:t>
                  </w:r>
                </w:p>
              </w:tc>
            </w:tr>
            <w:tr w14:paraId="4AFA2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exact"/>
                <w:jc w:val="center"/>
              </w:trPr>
              <w:tc>
                <w:tcPr>
                  <w:tcW w:w="965" w:type="dxa"/>
                  <w:noWrap w:val="0"/>
                  <w:vAlign w:val="center"/>
                </w:tcPr>
                <w:p w14:paraId="7F97257A">
                  <w:pPr>
                    <w:pStyle w:val="23"/>
                    <w:ind w:left="-120" w:leftChars="-50" w:right="-120" w:rightChars="-50"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水分含量</w:t>
                  </w:r>
                </w:p>
              </w:tc>
              <w:tc>
                <w:tcPr>
                  <w:tcW w:w="703" w:type="dxa"/>
                  <w:noWrap w:val="0"/>
                  <w:vAlign w:val="center"/>
                </w:tcPr>
                <w:p w14:paraId="6B47F5F4">
                  <w:pPr>
                    <w:pStyle w:val="23"/>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941" w:type="dxa"/>
                  <w:noWrap w:val="0"/>
                  <w:vAlign w:val="center"/>
                </w:tcPr>
                <w:p w14:paraId="31DD9490">
                  <w:pPr>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2.4</w:t>
                  </w:r>
                </w:p>
              </w:tc>
              <w:tc>
                <w:tcPr>
                  <w:tcW w:w="941" w:type="dxa"/>
                  <w:noWrap w:val="0"/>
                  <w:vAlign w:val="center"/>
                </w:tcPr>
                <w:p w14:paraId="03699E8E">
                  <w:pPr>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2.4</w:t>
                  </w:r>
                </w:p>
              </w:tc>
              <w:tc>
                <w:tcPr>
                  <w:tcW w:w="962" w:type="dxa"/>
                  <w:gridSpan w:val="2"/>
                  <w:noWrap w:val="0"/>
                  <w:vAlign w:val="center"/>
                </w:tcPr>
                <w:p w14:paraId="3566F493">
                  <w:pPr>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2.4</w:t>
                  </w:r>
                </w:p>
              </w:tc>
              <w:tc>
                <w:tcPr>
                  <w:tcW w:w="941" w:type="dxa"/>
                  <w:noWrap w:val="0"/>
                  <w:vAlign w:val="center"/>
                </w:tcPr>
                <w:p w14:paraId="187268C8">
                  <w:pPr>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2.8</w:t>
                  </w:r>
                </w:p>
              </w:tc>
              <w:tc>
                <w:tcPr>
                  <w:tcW w:w="966" w:type="dxa"/>
                  <w:gridSpan w:val="2"/>
                  <w:noWrap w:val="0"/>
                  <w:vAlign w:val="center"/>
                </w:tcPr>
                <w:p w14:paraId="35D0AAE9">
                  <w:pPr>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2.8</w:t>
                  </w:r>
                </w:p>
              </w:tc>
              <w:tc>
                <w:tcPr>
                  <w:tcW w:w="961" w:type="dxa"/>
                  <w:gridSpan w:val="2"/>
                  <w:noWrap w:val="0"/>
                  <w:vAlign w:val="center"/>
                </w:tcPr>
                <w:p w14:paraId="03115005">
                  <w:pPr>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2.8</w:t>
                  </w:r>
                </w:p>
              </w:tc>
              <w:tc>
                <w:tcPr>
                  <w:tcW w:w="838" w:type="dxa"/>
                  <w:noWrap w:val="0"/>
                  <w:vAlign w:val="center"/>
                </w:tcPr>
                <w:p w14:paraId="1BF7115B">
                  <w:pPr>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w:t>
                  </w:r>
                </w:p>
              </w:tc>
            </w:tr>
            <w:tr w14:paraId="524CE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965" w:type="dxa"/>
                  <w:noWrap w:val="0"/>
                  <w:vAlign w:val="center"/>
                </w:tcPr>
                <w:p w14:paraId="02FC856B">
                  <w:pPr>
                    <w:pStyle w:val="23"/>
                    <w:ind w:left="-120" w:leftChars="-50" w:right="-120" w:rightChars="-50"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排气流速</w:t>
                  </w:r>
                </w:p>
              </w:tc>
              <w:tc>
                <w:tcPr>
                  <w:tcW w:w="703" w:type="dxa"/>
                  <w:noWrap w:val="0"/>
                  <w:vAlign w:val="center"/>
                </w:tcPr>
                <w:p w14:paraId="79AE4E94">
                  <w:pPr>
                    <w:pStyle w:val="23"/>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m/s</w:t>
                  </w:r>
                </w:p>
              </w:tc>
              <w:tc>
                <w:tcPr>
                  <w:tcW w:w="941" w:type="dxa"/>
                  <w:noWrap w:val="0"/>
                  <w:vAlign w:val="center"/>
                </w:tcPr>
                <w:p w14:paraId="3C9B3E4C">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21.7</w:t>
                  </w:r>
                </w:p>
              </w:tc>
              <w:tc>
                <w:tcPr>
                  <w:tcW w:w="941" w:type="dxa"/>
                  <w:noWrap w:val="0"/>
                  <w:vAlign w:val="center"/>
                </w:tcPr>
                <w:p w14:paraId="53252D63">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21.7</w:t>
                  </w:r>
                </w:p>
              </w:tc>
              <w:tc>
                <w:tcPr>
                  <w:tcW w:w="962" w:type="dxa"/>
                  <w:gridSpan w:val="2"/>
                  <w:noWrap w:val="0"/>
                  <w:vAlign w:val="center"/>
                </w:tcPr>
                <w:p w14:paraId="549AF0F3">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21.5</w:t>
                  </w:r>
                </w:p>
              </w:tc>
              <w:tc>
                <w:tcPr>
                  <w:tcW w:w="941" w:type="dxa"/>
                  <w:noWrap w:val="0"/>
                  <w:vAlign w:val="center"/>
                </w:tcPr>
                <w:p w14:paraId="67DBFD4D">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16.6</w:t>
                  </w:r>
                </w:p>
              </w:tc>
              <w:tc>
                <w:tcPr>
                  <w:tcW w:w="966" w:type="dxa"/>
                  <w:gridSpan w:val="2"/>
                  <w:noWrap w:val="0"/>
                  <w:vAlign w:val="center"/>
                </w:tcPr>
                <w:p w14:paraId="34AD850E">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16.6</w:t>
                  </w:r>
                </w:p>
              </w:tc>
              <w:tc>
                <w:tcPr>
                  <w:tcW w:w="961" w:type="dxa"/>
                  <w:gridSpan w:val="2"/>
                  <w:noWrap w:val="0"/>
                  <w:vAlign w:val="center"/>
                </w:tcPr>
                <w:p w14:paraId="2C05F5E4">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16.6</w:t>
                  </w:r>
                </w:p>
              </w:tc>
              <w:tc>
                <w:tcPr>
                  <w:tcW w:w="838" w:type="dxa"/>
                  <w:noWrap w:val="0"/>
                  <w:vAlign w:val="center"/>
                </w:tcPr>
                <w:p w14:paraId="59E6F3F2">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w:t>
                  </w:r>
                </w:p>
              </w:tc>
            </w:tr>
            <w:tr w14:paraId="062FE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jc w:val="center"/>
              </w:trPr>
              <w:tc>
                <w:tcPr>
                  <w:tcW w:w="965" w:type="dxa"/>
                  <w:noWrap w:val="0"/>
                  <w:vAlign w:val="center"/>
                </w:tcPr>
                <w:p w14:paraId="7D254492">
                  <w:pPr>
                    <w:pStyle w:val="23"/>
                    <w:ind w:left="-120" w:leftChars="-50" w:right="-120" w:rightChars="-5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标干流量</w:t>
                  </w:r>
                </w:p>
              </w:tc>
              <w:tc>
                <w:tcPr>
                  <w:tcW w:w="703" w:type="dxa"/>
                  <w:noWrap w:val="0"/>
                  <w:vAlign w:val="center"/>
                </w:tcPr>
                <w:p w14:paraId="1C99F49D">
                  <w:pPr>
                    <w:pStyle w:val="23"/>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w:t>
                  </w:r>
                  <w:r>
                    <w:rPr>
                      <w:rFonts w:hint="default" w:ascii="Times New Roman" w:hAnsi="Times New Roman" w:eastAsia="宋体" w:cs="Times New Roman"/>
                      <w:sz w:val="18"/>
                      <w:szCs w:val="18"/>
                      <w:vertAlign w:val="superscript"/>
                    </w:rPr>
                    <w:t>3</w:t>
                  </w:r>
                  <w:r>
                    <w:rPr>
                      <w:rFonts w:hint="default" w:ascii="Times New Roman" w:hAnsi="Times New Roman" w:eastAsia="宋体" w:cs="Times New Roman"/>
                      <w:sz w:val="18"/>
                      <w:szCs w:val="18"/>
                    </w:rPr>
                    <w:t>/h</w:t>
                  </w:r>
                </w:p>
              </w:tc>
              <w:tc>
                <w:tcPr>
                  <w:tcW w:w="941" w:type="dxa"/>
                  <w:noWrap w:val="0"/>
                  <w:vAlign w:val="center"/>
                </w:tcPr>
                <w:p w14:paraId="4F6EB4E2">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1.61</w:t>
                  </w:r>
                  <w:r>
                    <w:rPr>
                      <w:rFonts w:hint="default" w:ascii="Arial" w:hAnsi="Arial" w:cs="Arial"/>
                      <w:sz w:val="18"/>
                      <w:szCs w:val="18"/>
                      <w:highlight w:val="none"/>
                      <w:lang w:val="en-US" w:eastAsia="zh-CN"/>
                    </w:rPr>
                    <w:t>×</w:t>
                  </w:r>
                  <w:r>
                    <w:rPr>
                      <w:rFonts w:hint="eastAsia" w:cs="Times New Roman"/>
                      <w:sz w:val="18"/>
                      <w:szCs w:val="18"/>
                      <w:highlight w:val="none"/>
                      <w:lang w:val="en-US" w:eastAsia="zh-CN"/>
                    </w:rPr>
                    <w:t>10</w:t>
                  </w:r>
                  <w:r>
                    <w:rPr>
                      <w:rFonts w:hint="eastAsia" w:cs="Times New Roman"/>
                      <w:sz w:val="18"/>
                      <w:szCs w:val="18"/>
                      <w:highlight w:val="none"/>
                      <w:vertAlign w:val="superscript"/>
                      <w:lang w:val="en-US" w:eastAsia="zh-CN"/>
                    </w:rPr>
                    <w:t>4</w:t>
                  </w:r>
                </w:p>
              </w:tc>
              <w:tc>
                <w:tcPr>
                  <w:tcW w:w="941" w:type="dxa"/>
                  <w:noWrap w:val="0"/>
                  <w:vAlign w:val="center"/>
                </w:tcPr>
                <w:p w14:paraId="59F72CA5">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1.61</w:t>
                  </w:r>
                  <w:r>
                    <w:rPr>
                      <w:rFonts w:hint="default" w:ascii="Arial" w:hAnsi="Arial" w:cs="Arial"/>
                      <w:sz w:val="18"/>
                      <w:szCs w:val="18"/>
                      <w:highlight w:val="none"/>
                      <w:lang w:val="en-US" w:eastAsia="zh-CN"/>
                    </w:rPr>
                    <w:t>×</w:t>
                  </w:r>
                  <w:r>
                    <w:rPr>
                      <w:rFonts w:hint="eastAsia" w:cs="Times New Roman"/>
                      <w:sz w:val="18"/>
                      <w:szCs w:val="18"/>
                      <w:highlight w:val="none"/>
                      <w:lang w:val="en-US" w:eastAsia="zh-CN"/>
                    </w:rPr>
                    <w:t>10</w:t>
                  </w:r>
                  <w:r>
                    <w:rPr>
                      <w:rFonts w:hint="eastAsia" w:cs="Times New Roman"/>
                      <w:sz w:val="18"/>
                      <w:szCs w:val="18"/>
                      <w:highlight w:val="none"/>
                      <w:vertAlign w:val="superscript"/>
                      <w:lang w:val="en-US" w:eastAsia="zh-CN"/>
                    </w:rPr>
                    <w:t>4</w:t>
                  </w:r>
                </w:p>
              </w:tc>
              <w:tc>
                <w:tcPr>
                  <w:tcW w:w="962" w:type="dxa"/>
                  <w:gridSpan w:val="2"/>
                  <w:noWrap w:val="0"/>
                  <w:vAlign w:val="center"/>
                </w:tcPr>
                <w:p w14:paraId="34AC0AF2">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1.59</w:t>
                  </w:r>
                  <w:r>
                    <w:rPr>
                      <w:rFonts w:hint="default" w:ascii="Arial" w:hAnsi="Arial" w:cs="Arial"/>
                      <w:sz w:val="18"/>
                      <w:szCs w:val="18"/>
                      <w:highlight w:val="none"/>
                      <w:lang w:val="en-US" w:eastAsia="zh-CN"/>
                    </w:rPr>
                    <w:t>×</w:t>
                  </w:r>
                  <w:r>
                    <w:rPr>
                      <w:rFonts w:hint="eastAsia" w:cs="Times New Roman"/>
                      <w:sz w:val="18"/>
                      <w:szCs w:val="18"/>
                      <w:highlight w:val="none"/>
                      <w:lang w:val="en-US" w:eastAsia="zh-CN"/>
                    </w:rPr>
                    <w:t>10</w:t>
                  </w:r>
                  <w:r>
                    <w:rPr>
                      <w:rFonts w:hint="eastAsia" w:cs="Times New Roman"/>
                      <w:sz w:val="18"/>
                      <w:szCs w:val="18"/>
                      <w:highlight w:val="none"/>
                      <w:vertAlign w:val="superscript"/>
                      <w:lang w:val="en-US" w:eastAsia="zh-CN"/>
                    </w:rPr>
                    <w:t>4</w:t>
                  </w:r>
                </w:p>
              </w:tc>
              <w:tc>
                <w:tcPr>
                  <w:tcW w:w="941" w:type="dxa"/>
                  <w:noWrap w:val="0"/>
                  <w:vAlign w:val="center"/>
                </w:tcPr>
                <w:p w14:paraId="0820B9A2">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1.45</w:t>
                  </w:r>
                  <w:r>
                    <w:rPr>
                      <w:rFonts w:hint="default" w:ascii="Arial" w:hAnsi="Arial" w:cs="Arial"/>
                      <w:sz w:val="18"/>
                      <w:szCs w:val="18"/>
                      <w:highlight w:val="none"/>
                      <w:lang w:val="en-US" w:eastAsia="zh-CN"/>
                    </w:rPr>
                    <w:t>×</w:t>
                  </w:r>
                  <w:r>
                    <w:rPr>
                      <w:rFonts w:hint="eastAsia" w:cs="Times New Roman"/>
                      <w:sz w:val="18"/>
                      <w:szCs w:val="18"/>
                      <w:highlight w:val="none"/>
                      <w:lang w:val="en-US" w:eastAsia="zh-CN"/>
                    </w:rPr>
                    <w:t>10</w:t>
                  </w:r>
                  <w:r>
                    <w:rPr>
                      <w:rFonts w:hint="eastAsia" w:cs="Times New Roman"/>
                      <w:sz w:val="18"/>
                      <w:szCs w:val="18"/>
                      <w:highlight w:val="none"/>
                      <w:vertAlign w:val="superscript"/>
                      <w:lang w:val="en-US" w:eastAsia="zh-CN"/>
                    </w:rPr>
                    <w:t>4</w:t>
                  </w:r>
                </w:p>
              </w:tc>
              <w:tc>
                <w:tcPr>
                  <w:tcW w:w="966" w:type="dxa"/>
                  <w:gridSpan w:val="2"/>
                  <w:noWrap w:val="0"/>
                  <w:vAlign w:val="center"/>
                </w:tcPr>
                <w:p w14:paraId="482ECC67">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1.45</w:t>
                  </w:r>
                  <w:r>
                    <w:rPr>
                      <w:rFonts w:hint="default" w:ascii="Arial" w:hAnsi="Arial" w:cs="Arial"/>
                      <w:sz w:val="18"/>
                      <w:szCs w:val="18"/>
                      <w:highlight w:val="none"/>
                      <w:lang w:val="en-US" w:eastAsia="zh-CN"/>
                    </w:rPr>
                    <w:t>×</w:t>
                  </w:r>
                  <w:r>
                    <w:rPr>
                      <w:rFonts w:hint="eastAsia" w:cs="Times New Roman"/>
                      <w:sz w:val="18"/>
                      <w:szCs w:val="18"/>
                      <w:highlight w:val="none"/>
                      <w:lang w:val="en-US" w:eastAsia="zh-CN"/>
                    </w:rPr>
                    <w:t>10</w:t>
                  </w:r>
                  <w:r>
                    <w:rPr>
                      <w:rFonts w:hint="eastAsia" w:cs="Times New Roman"/>
                      <w:sz w:val="18"/>
                      <w:szCs w:val="18"/>
                      <w:highlight w:val="none"/>
                      <w:vertAlign w:val="superscript"/>
                      <w:lang w:val="en-US" w:eastAsia="zh-CN"/>
                    </w:rPr>
                    <w:t>4</w:t>
                  </w:r>
                </w:p>
              </w:tc>
              <w:tc>
                <w:tcPr>
                  <w:tcW w:w="961" w:type="dxa"/>
                  <w:gridSpan w:val="2"/>
                  <w:noWrap w:val="0"/>
                  <w:vAlign w:val="center"/>
                </w:tcPr>
                <w:p w14:paraId="132C6EC9">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1.45</w:t>
                  </w:r>
                  <w:r>
                    <w:rPr>
                      <w:rFonts w:hint="default" w:ascii="Arial" w:hAnsi="Arial" w:cs="Arial"/>
                      <w:sz w:val="18"/>
                      <w:szCs w:val="18"/>
                      <w:highlight w:val="none"/>
                      <w:lang w:val="en-US" w:eastAsia="zh-CN"/>
                    </w:rPr>
                    <w:t>×</w:t>
                  </w:r>
                  <w:r>
                    <w:rPr>
                      <w:rFonts w:hint="eastAsia" w:cs="Times New Roman"/>
                      <w:sz w:val="18"/>
                      <w:szCs w:val="18"/>
                      <w:highlight w:val="none"/>
                      <w:lang w:val="en-US" w:eastAsia="zh-CN"/>
                    </w:rPr>
                    <w:t>10</w:t>
                  </w:r>
                  <w:r>
                    <w:rPr>
                      <w:rFonts w:hint="eastAsia" w:cs="Times New Roman"/>
                      <w:sz w:val="18"/>
                      <w:szCs w:val="18"/>
                      <w:highlight w:val="none"/>
                      <w:vertAlign w:val="superscript"/>
                      <w:lang w:val="en-US" w:eastAsia="zh-CN"/>
                    </w:rPr>
                    <w:t>4</w:t>
                  </w:r>
                </w:p>
              </w:tc>
              <w:tc>
                <w:tcPr>
                  <w:tcW w:w="838" w:type="dxa"/>
                  <w:noWrap w:val="0"/>
                  <w:vAlign w:val="center"/>
                </w:tcPr>
                <w:p w14:paraId="01F81766">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w:t>
                  </w:r>
                </w:p>
              </w:tc>
            </w:tr>
            <w:tr w14:paraId="28612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5" w:type="dxa"/>
                  <w:shd w:val="clear" w:color="auto" w:fill="auto"/>
                  <w:noWrap w:val="0"/>
                  <w:vAlign w:val="center"/>
                </w:tcPr>
                <w:p w14:paraId="16FB1880">
                  <w:pPr>
                    <w:pStyle w:val="23"/>
                    <w:ind w:left="-240" w:leftChars="-100" w:right="-240" w:rightChars="-100" w:firstLine="0" w:firstLineChars="0"/>
                    <w:jc w:val="center"/>
                    <w:rPr>
                      <w:color w:val="auto"/>
                      <w:sz w:val="18"/>
                      <w:szCs w:val="18"/>
                    </w:rPr>
                  </w:pPr>
                  <w:r>
                    <w:rPr>
                      <w:color w:val="auto"/>
                      <w:sz w:val="18"/>
                      <w:szCs w:val="18"/>
                    </w:rPr>
                    <w:t>非甲烷总烃</w:t>
                  </w:r>
                </w:p>
                <w:p w14:paraId="5D183937">
                  <w:pPr>
                    <w:pStyle w:val="23"/>
                    <w:ind w:left="-240" w:leftChars="-100" w:right="-240" w:rightChars="-100" w:firstLine="0" w:firstLineChars="0"/>
                    <w:jc w:val="center"/>
                    <w:rPr>
                      <w:rFonts w:hint="default" w:ascii="Times New Roman" w:hAnsi="Times New Roman" w:eastAsia="宋体" w:cs="Times New Roman"/>
                      <w:color w:val="auto"/>
                      <w:kern w:val="2"/>
                      <w:sz w:val="18"/>
                      <w:szCs w:val="18"/>
                      <w:lang w:val="en-US" w:eastAsia="zh-CN" w:bidi="ar-SA"/>
                    </w:rPr>
                  </w:pPr>
                  <w:r>
                    <w:rPr>
                      <w:color w:val="auto"/>
                      <w:sz w:val="18"/>
                      <w:szCs w:val="18"/>
                    </w:rPr>
                    <w:t>浓度（以碳计）</w:t>
                  </w:r>
                </w:p>
              </w:tc>
              <w:tc>
                <w:tcPr>
                  <w:tcW w:w="703" w:type="dxa"/>
                  <w:noWrap w:val="0"/>
                  <w:vAlign w:val="center"/>
                </w:tcPr>
                <w:p w14:paraId="5297B1AF">
                  <w:pPr>
                    <w:pStyle w:val="23"/>
                    <w:ind w:left="-120" w:leftChars="-50" w:right="-120" w:rightChars="-5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mg/m</w:t>
                  </w:r>
                  <w:r>
                    <w:rPr>
                      <w:rFonts w:hint="default" w:ascii="Times New Roman" w:hAnsi="Times New Roman" w:eastAsia="宋体" w:cs="Times New Roman"/>
                      <w:sz w:val="18"/>
                      <w:szCs w:val="18"/>
                      <w:vertAlign w:val="superscript"/>
                    </w:rPr>
                    <w:t>3</w:t>
                  </w:r>
                </w:p>
              </w:tc>
              <w:tc>
                <w:tcPr>
                  <w:tcW w:w="941" w:type="dxa"/>
                  <w:noWrap w:val="0"/>
                  <w:vAlign w:val="center"/>
                </w:tcPr>
                <w:p w14:paraId="39B6C4A9">
                  <w:pPr>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6.70</w:t>
                  </w:r>
                </w:p>
              </w:tc>
              <w:tc>
                <w:tcPr>
                  <w:tcW w:w="941" w:type="dxa"/>
                  <w:noWrap w:val="0"/>
                  <w:vAlign w:val="center"/>
                </w:tcPr>
                <w:p w14:paraId="5C11EB71">
                  <w:pPr>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6.78</w:t>
                  </w:r>
                </w:p>
              </w:tc>
              <w:tc>
                <w:tcPr>
                  <w:tcW w:w="962" w:type="dxa"/>
                  <w:gridSpan w:val="2"/>
                  <w:noWrap w:val="0"/>
                  <w:vAlign w:val="center"/>
                </w:tcPr>
                <w:p w14:paraId="6D2E9F92">
                  <w:pPr>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6.70</w:t>
                  </w:r>
                </w:p>
              </w:tc>
              <w:tc>
                <w:tcPr>
                  <w:tcW w:w="941" w:type="dxa"/>
                  <w:noWrap w:val="0"/>
                  <w:vAlign w:val="center"/>
                </w:tcPr>
                <w:p w14:paraId="41ACCBFA">
                  <w:pPr>
                    <w:jc w:val="center"/>
                    <w:rPr>
                      <w:rFonts w:hint="default" w:eastAsia="宋体" w:cs="Times New Roman"/>
                      <w:sz w:val="18"/>
                      <w:szCs w:val="18"/>
                      <w:highlight w:val="none"/>
                      <w:lang w:val="en-US" w:eastAsia="zh-CN"/>
                    </w:rPr>
                  </w:pPr>
                  <w:r>
                    <w:rPr>
                      <w:rFonts w:hint="eastAsia" w:cs="Times New Roman"/>
                      <w:sz w:val="18"/>
                      <w:szCs w:val="18"/>
                      <w:highlight w:val="none"/>
                      <w:lang w:val="en-US" w:eastAsia="zh-CN"/>
                    </w:rPr>
                    <w:t>1.66</w:t>
                  </w:r>
                </w:p>
              </w:tc>
              <w:tc>
                <w:tcPr>
                  <w:tcW w:w="966" w:type="dxa"/>
                  <w:gridSpan w:val="2"/>
                  <w:noWrap w:val="0"/>
                  <w:vAlign w:val="center"/>
                </w:tcPr>
                <w:p w14:paraId="030EB3CE">
                  <w:pPr>
                    <w:jc w:val="center"/>
                    <w:rPr>
                      <w:rFonts w:hint="default" w:eastAsia="宋体" w:cs="Times New Roman"/>
                      <w:sz w:val="18"/>
                      <w:szCs w:val="18"/>
                      <w:highlight w:val="none"/>
                      <w:lang w:val="en-US" w:eastAsia="zh-CN"/>
                    </w:rPr>
                  </w:pPr>
                  <w:r>
                    <w:rPr>
                      <w:rFonts w:hint="eastAsia" w:cs="Times New Roman"/>
                      <w:sz w:val="18"/>
                      <w:szCs w:val="18"/>
                      <w:highlight w:val="none"/>
                      <w:lang w:val="en-US" w:eastAsia="zh-CN"/>
                    </w:rPr>
                    <w:t>1.71</w:t>
                  </w:r>
                </w:p>
              </w:tc>
              <w:tc>
                <w:tcPr>
                  <w:tcW w:w="961" w:type="dxa"/>
                  <w:gridSpan w:val="2"/>
                  <w:noWrap w:val="0"/>
                  <w:vAlign w:val="center"/>
                </w:tcPr>
                <w:p w14:paraId="27E137EE">
                  <w:pPr>
                    <w:jc w:val="center"/>
                    <w:rPr>
                      <w:rFonts w:hint="default" w:eastAsia="宋体" w:cs="Times New Roman"/>
                      <w:sz w:val="18"/>
                      <w:szCs w:val="18"/>
                      <w:highlight w:val="none"/>
                      <w:lang w:val="en-US" w:eastAsia="zh-CN"/>
                    </w:rPr>
                  </w:pPr>
                  <w:r>
                    <w:rPr>
                      <w:rFonts w:hint="eastAsia" w:cs="Times New Roman"/>
                      <w:sz w:val="18"/>
                      <w:szCs w:val="18"/>
                      <w:highlight w:val="none"/>
                      <w:lang w:val="en-US" w:eastAsia="zh-CN"/>
                    </w:rPr>
                    <w:t>1.74</w:t>
                  </w:r>
                </w:p>
              </w:tc>
              <w:tc>
                <w:tcPr>
                  <w:tcW w:w="838" w:type="dxa"/>
                  <w:noWrap w:val="0"/>
                  <w:vAlign w:val="center"/>
                </w:tcPr>
                <w:p w14:paraId="2110642A">
                  <w:pPr>
                    <w:jc w:val="center"/>
                    <w:rPr>
                      <w:rFonts w:hint="default" w:eastAsia="宋体" w:cs="Times New Roman"/>
                      <w:sz w:val="18"/>
                      <w:szCs w:val="18"/>
                      <w:highlight w:val="none"/>
                      <w:lang w:val="en-US" w:eastAsia="zh-CN"/>
                    </w:rPr>
                  </w:pPr>
                  <w:r>
                    <w:rPr>
                      <w:rFonts w:hint="eastAsia" w:cs="Times New Roman"/>
                      <w:sz w:val="18"/>
                      <w:szCs w:val="18"/>
                      <w:highlight w:val="none"/>
                      <w:lang w:val="en-US" w:eastAsia="zh-CN"/>
                    </w:rPr>
                    <w:t>60</w:t>
                  </w:r>
                </w:p>
              </w:tc>
            </w:tr>
            <w:tr w14:paraId="3AC70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965" w:type="dxa"/>
                  <w:shd w:val="clear" w:color="auto" w:fill="auto"/>
                  <w:noWrap w:val="0"/>
                  <w:vAlign w:val="center"/>
                </w:tcPr>
                <w:p w14:paraId="49EF50A7">
                  <w:pPr>
                    <w:pStyle w:val="23"/>
                    <w:ind w:left="-240" w:leftChars="-100" w:right="-240" w:rightChars="-100" w:firstLine="0" w:firstLineChars="0"/>
                    <w:jc w:val="center"/>
                    <w:rPr>
                      <w:color w:val="auto"/>
                      <w:sz w:val="18"/>
                      <w:szCs w:val="18"/>
                    </w:rPr>
                  </w:pPr>
                  <w:r>
                    <w:rPr>
                      <w:color w:val="auto"/>
                      <w:sz w:val="18"/>
                      <w:szCs w:val="18"/>
                    </w:rPr>
                    <w:t>非甲烷总烃</w:t>
                  </w:r>
                </w:p>
                <w:p w14:paraId="2C08EC74">
                  <w:pPr>
                    <w:pStyle w:val="23"/>
                    <w:ind w:left="-240" w:leftChars="-100" w:right="-240" w:rightChars="-100" w:firstLine="0" w:firstLineChars="0"/>
                    <w:jc w:val="center"/>
                    <w:rPr>
                      <w:color w:val="auto"/>
                      <w:sz w:val="18"/>
                      <w:szCs w:val="18"/>
                    </w:rPr>
                  </w:pPr>
                  <w:r>
                    <w:rPr>
                      <w:color w:val="auto"/>
                      <w:sz w:val="18"/>
                      <w:szCs w:val="18"/>
                    </w:rPr>
                    <w:t>平均浓度</w:t>
                  </w:r>
                </w:p>
                <w:p w14:paraId="30EF3980">
                  <w:pPr>
                    <w:pStyle w:val="23"/>
                    <w:ind w:left="-240" w:leftChars="-100" w:right="-240" w:rightChars="-100" w:firstLine="0" w:firstLineChars="0"/>
                    <w:jc w:val="center"/>
                    <w:rPr>
                      <w:rFonts w:hint="default" w:ascii="Times New Roman" w:hAnsi="Times New Roman" w:eastAsia="宋体" w:cs="Times New Roman"/>
                      <w:color w:val="auto"/>
                      <w:kern w:val="2"/>
                      <w:sz w:val="18"/>
                      <w:szCs w:val="18"/>
                      <w:lang w:val="en-US" w:eastAsia="zh-CN" w:bidi="ar-SA"/>
                    </w:rPr>
                  </w:pPr>
                  <w:r>
                    <w:rPr>
                      <w:color w:val="auto"/>
                      <w:sz w:val="18"/>
                      <w:szCs w:val="18"/>
                    </w:rPr>
                    <w:t>（以碳计）</w:t>
                  </w:r>
                </w:p>
              </w:tc>
              <w:tc>
                <w:tcPr>
                  <w:tcW w:w="703" w:type="dxa"/>
                  <w:noWrap w:val="0"/>
                  <w:vAlign w:val="center"/>
                </w:tcPr>
                <w:p w14:paraId="71C0AEF2">
                  <w:pPr>
                    <w:pStyle w:val="23"/>
                    <w:ind w:left="-120" w:leftChars="-50" w:right="-120" w:rightChars="-5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mg/m</w:t>
                  </w:r>
                  <w:r>
                    <w:rPr>
                      <w:rFonts w:hint="default" w:ascii="Times New Roman" w:hAnsi="Times New Roman" w:eastAsia="宋体" w:cs="Times New Roman"/>
                      <w:sz w:val="18"/>
                      <w:szCs w:val="18"/>
                      <w:vertAlign w:val="superscript"/>
                    </w:rPr>
                    <w:t>3</w:t>
                  </w:r>
                </w:p>
              </w:tc>
              <w:tc>
                <w:tcPr>
                  <w:tcW w:w="2844" w:type="dxa"/>
                  <w:gridSpan w:val="4"/>
                  <w:noWrap w:val="0"/>
                  <w:vAlign w:val="center"/>
                </w:tcPr>
                <w:p w14:paraId="17ACA12F">
                  <w:pPr>
                    <w:jc w:val="center"/>
                    <w:rPr>
                      <w:rFonts w:hint="default" w:cs="Times New Roman"/>
                      <w:sz w:val="18"/>
                      <w:szCs w:val="18"/>
                      <w:highlight w:val="none"/>
                      <w:lang w:val="en-US" w:eastAsia="zh-CN"/>
                    </w:rPr>
                  </w:pPr>
                  <w:r>
                    <w:rPr>
                      <w:rFonts w:hint="eastAsia" w:cs="Times New Roman"/>
                      <w:sz w:val="18"/>
                      <w:szCs w:val="18"/>
                      <w:highlight w:val="none"/>
                      <w:lang w:val="en-US" w:eastAsia="zh-CN"/>
                    </w:rPr>
                    <w:t>6.73</w:t>
                  </w:r>
                </w:p>
              </w:tc>
              <w:tc>
                <w:tcPr>
                  <w:tcW w:w="2868" w:type="dxa"/>
                  <w:gridSpan w:val="5"/>
                  <w:noWrap w:val="0"/>
                  <w:vAlign w:val="center"/>
                </w:tcPr>
                <w:p w14:paraId="7AE239C6">
                  <w:pPr>
                    <w:jc w:val="center"/>
                    <w:rPr>
                      <w:rFonts w:hint="default" w:cs="Times New Roman"/>
                      <w:sz w:val="18"/>
                      <w:szCs w:val="18"/>
                      <w:highlight w:val="none"/>
                      <w:lang w:val="en-US" w:eastAsia="zh-CN"/>
                    </w:rPr>
                  </w:pPr>
                  <w:r>
                    <w:rPr>
                      <w:rFonts w:hint="eastAsia" w:cs="Times New Roman"/>
                      <w:sz w:val="18"/>
                      <w:szCs w:val="18"/>
                      <w:highlight w:val="none"/>
                      <w:lang w:val="en-US" w:eastAsia="zh-CN"/>
                    </w:rPr>
                    <w:t>1.70</w:t>
                  </w:r>
                </w:p>
              </w:tc>
              <w:tc>
                <w:tcPr>
                  <w:tcW w:w="838" w:type="dxa"/>
                  <w:noWrap w:val="0"/>
                  <w:vAlign w:val="center"/>
                </w:tcPr>
                <w:p w14:paraId="2349D819">
                  <w:pPr>
                    <w:jc w:val="center"/>
                    <w:rPr>
                      <w:rFonts w:hint="default" w:cs="Times New Roman"/>
                      <w:sz w:val="18"/>
                      <w:szCs w:val="18"/>
                      <w:highlight w:val="none"/>
                      <w:lang w:val="en-US" w:eastAsia="zh-CN"/>
                    </w:rPr>
                  </w:pPr>
                  <w:r>
                    <w:rPr>
                      <w:rFonts w:hint="eastAsia" w:cs="Times New Roman"/>
                      <w:sz w:val="18"/>
                      <w:szCs w:val="18"/>
                      <w:highlight w:val="none"/>
                      <w:lang w:val="en-US" w:eastAsia="zh-CN"/>
                    </w:rPr>
                    <w:t>60</w:t>
                  </w:r>
                </w:p>
              </w:tc>
            </w:tr>
            <w:tr w14:paraId="39B3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965" w:type="dxa"/>
                  <w:shd w:val="clear" w:color="auto" w:fill="auto"/>
                  <w:noWrap w:val="0"/>
                  <w:vAlign w:val="center"/>
                </w:tcPr>
                <w:p w14:paraId="042E4D0B">
                  <w:pPr>
                    <w:pStyle w:val="23"/>
                    <w:ind w:left="-240" w:leftChars="-100" w:right="-240" w:rightChars="-100" w:firstLine="0" w:firstLineChars="0"/>
                    <w:jc w:val="center"/>
                    <w:rPr>
                      <w:color w:val="auto"/>
                      <w:sz w:val="18"/>
                      <w:szCs w:val="18"/>
                    </w:rPr>
                  </w:pPr>
                  <w:r>
                    <w:rPr>
                      <w:color w:val="auto"/>
                      <w:sz w:val="18"/>
                      <w:szCs w:val="18"/>
                    </w:rPr>
                    <w:t>非甲烷总烃</w:t>
                  </w:r>
                </w:p>
                <w:p w14:paraId="0B5815F2">
                  <w:pPr>
                    <w:pStyle w:val="23"/>
                    <w:ind w:left="-240" w:leftChars="-100" w:right="-240" w:rightChars="-100" w:firstLine="0" w:firstLineChars="0"/>
                    <w:jc w:val="center"/>
                    <w:rPr>
                      <w:color w:val="auto"/>
                      <w:sz w:val="18"/>
                      <w:szCs w:val="18"/>
                    </w:rPr>
                  </w:pPr>
                  <w:r>
                    <w:rPr>
                      <w:color w:val="auto"/>
                      <w:sz w:val="18"/>
                      <w:szCs w:val="18"/>
                    </w:rPr>
                    <w:t>排放速率</w:t>
                  </w:r>
                </w:p>
                <w:p w14:paraId="5FDE505F">
                  <w:pPr>
                    <w:pStyle w:val="23"/>
                    <w:ind w:left="-240" w:leftChars="-100" w:right="-240" w:rightChars="-100" w:firstLine="0" w:firstLineChars="0"/>
                    <w:jc w:val="center"/>
                    <w:rPr>
                      <w:rFonts w:hint="default" w:ascii="Times New Roman" w:hAnsi="Times New Roman" w:eastAsia="宋体" w:cs="Times New Roman"/>
                      <w:color w:val="auto"/>
                      <w:kern w:val="2"/>
                      <w:sz w:val="18"/>
                      <w:szCs w:val="18"/>
                      <w:lang w:val="en-US" w:eastAsia="zh-CN" w:bidi="ar-SA"/>
                    </w:rPr>
                  </w:pPr>
                  <w:r>
                    <w:rPr>
                      <w:color w:val="auto"/>
                      <w:sz w:val="18"/>
                      <w:szCs w:val="18"/>
                    </w:rPr>
                    <w:t>（以碳计）</w:t>
                  </w:r>
                </w:p>
              </w:tc>
              <w:tc>
                <w:tcPr>
                  <w:tcW w:w="703" w:type="dxa"/>
                  <w:noWrap w:val="0"/>
                  <w:vAlign w:val="center"/>
                </w:tcPr>
                <w:p w14:paraId="2E612875">
                  <w:pPr>
                    <w:pStyle w:val="23"/>
                    <w:ind w:left="-120" w:leftChars="-50" w:right="-120" w:rightChars="-5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kg/h</w:t>
                  </w:r>
                </w:p>
              </w:tc>
              <w:tc>
                <w:tcPr>
                  <w:tcW w:w="941" w:type="dxa"/>
                  <w:noWrap w:val="0"/>
                  <w:vAlign w:val="center"/>
                </w:tcPr>
                <w:p w14:paraId="384F5E7F">
                  <w:pPr>
                    <w:jc w:val="center"/>
                    <w:rPr>
                      <w:rFonts w:hint="default" w:cs="Times New Roman"/>
                      <w:sz w:val="18"/>
                      <w:szCs w:val="18"/>
                      <w:highlight w:val="none"/>
                      <w:lang w:val="en-US" w:eastAsia="zh-CN"/>
                    </w:rPr>
                  </w:pPr>
                  <w:r>
                    <w:rPr>
                      <w:rFonts w:hint="eastAsia" w:cs="Times New Roman"/>
                      <w:sz w:val="18"/>
                      <w:szCs w:val="18"/>
                      <w:highlight w:val="none"/>
                      <w:lang w:val="en-US" w:eastAsia="zh-CN"/>
                    </w:rPr>
                    <w:t>0.108</w:t>
                  </w:r>
                </w:p>
              </w:tc>
              <w:tc>
                <w:tcPr>
                  <w:tcW w:w="941" w:type="dxa"/>
                  <w:noWrap w:val="0"/>
                  <w:vAlign w:val="center"/>
                </w:tcPr>
                <w:p w14:paraId="295F6DE0">
                  <w:pPr>
                    <w:jc w:val="center"/>
                    <w:rPr>
                      <w:rFonts w:hint="default" w:cs="Times New Roman"/>
                      <w:sz w:val="18"/>
                      <w:szCs w:val="18"/>
                      <w:highlight w:val="none"/>
                      <w:lang w:val="en-US" w:eastAsia="zh-CN"/>
                    </w:rPr>
                  </w:pPr>
                  <w:r>
                    <w:rPr>
                      <w:rFonts w:hint="eastAsia" w:cs="Times New Roman"/>
                      <w:sz w:val="18"/>
                      <w:szCs w:val="18"/>
                      <w:highlight w:val="none"/>
                      <w:lang w:val="en-US" w:eastAsia="zh-CN"/>
                    </w:rPr>
                    <w:t>0.109</w:t>
                  </w:r>
                </w:p>
              </w:tc>
              <w:tc>
                <w:tcPr>
                  <w:tcW w:w="962" w:type="dxa"/>
                  <w:gridSpan w:val="2"/>
                  <w:noWrap w:val="0"/>
                  <w:vAlign w:val="center"/>
                </w:tcPr>
                <w:p w14:paraId="5ADAFB96">
                  <w:pPr>
                    <w:jc w:val="center"/>
                    <w:rPr>
                      <w:rFonts w:hint="default" w:cs="Times New Roman"/>
                      <w:sz w:val="18"/>
                      <w:szCs w:val="18"/>
                      <w:highlight w:val="none"/>
                      <w:lang w:val="en-US" w:eastAsia="zh-CN"/>
                    </w:rPr>
                  </w:pPr>
                  <w:r>
                    <w:rPr>
                      <w:rFonts w:hint="eastAsia" w:cs="Times New Roman"/>
                      <w:sz w:val="18"/>
                      <w:szCs w:val="18"/>
                      <w:highlight w:val="none"/>
                      <w:lang w:val="en-US" w:eastAsia="zh-CN"/>
                    </w:rPr>
                    <w:t>0.107</w:t>
                  </w:r>
                </w:p>
              </w:tc>
              <w:tc>
                <w:tcPr>
                  <w:tcW w:w="941" w:type="dxa"/>
                  <w:noWrap w:val="0"/>
                  <w:vAlign w:val="center"/>
                </w:tcPr>
                <w:p w14:paraId="250CD5FA">
                  <w:pPr>
                    <w:jc w:val="center"/>
                    <w:rPr>
                      <w:rFonts w:hint="default" w:cs="Times New Roman"/>
                      <w:sz w:val="18"/>
                      <w:szCs w:val="18"/>
                      <w:highlight w:val="none"/>
                      <w:lang w:val="en-US" w:eastAsia="zh-CN"/>
                    </w:rPr>
                  </w:pPr>
                  <w:r>
                    <w:rPr>
                      <w:rFonts w:hint="eastAsia" w:cs="Times New Roman"/>
                      <w:sz w:val="18"/>
                      <w:szCs w:val="18"/>
                      <w:highlight w:val="none"/>
                      <w:lang w:val="en-US" w:eastAsia="zh-CN"/>
                    </w:rPr>
                    <w:t>0.0241</w:t>
                  </w:r>
                </w:p>
              </w:tc>
              <w:tc>
                <w:tcPr>
                  <w:tcW w:w="966" w:type="dxa"/>
                  <w:gridSpan w:val="2"/>
                  <w:noWrap w:val="0"/>
                  <w:vAlign w:val="center"/>
                </w:tcPr>
                <w:p w14:paraId="3CE443DB">
                  <w:pPr>
                    <w:jc w:val="center"/>
                    <w:rPr>
                      <w:rFonts w:hint="default" w:cs="Times New Roman"/>
                      <w:sz w:val="18"/>
                      <w:szCs w:val="18"/>
                      <w:highlight w:val="none"/>
                      <w:lang w:val="en-US" w:eastAsia="zh-CN"/>
                    </w:rPr>
                  </w:pPr>
                  <w:r>
                    <w:rPr>
                      <w:rFonts w:hint="eastAsia" w:cs="Times New Roman"/>
                      <w:sz w:val="18"/>
                      <w:szCs w:val="18"/>
                      <w:highlight w:val="none"/>
                      <w:lang w:val="en-US" w:eastAsia="zh-CN"/>
                    </w:rPr>
                    <w:t>0.0248</w:t>
                  </w:r>
                </w:p>
              </w:tc>
              <w:tc>
                <w:tcPr>
                  <w:tcW w:w="961" w:type="dxa"/>
                  <w:gridSpan w:val="2"/>
                  <w:noWrap w:val="0"/>
                  <w:vAlign w:val="center"/>
                </w:tcPr>
                <w:p w14:paraId="1F91D03C">
                  <w:pPr>
                    <w:jc w:val="center"/>
                    <w:rPr>
                      <w:rFonts w:hint="default" w:cs="Times New Roman"/>
                      <w:sz w:val="18"/>
                      <w:szCs w:val="18"/>
                      <w:highlight w:val="none"/>
                      <w:lang w:val="en-US" w:eastAsia="zh-CN"/>
                    </w:rPr>
                  </w:pPr>
                  <w:r>
                    <w:rPr>
                      <w:rFonts w:hint="eastAsia" w:cs="Times New Roman"/>
                      <w:sz w:val="18"/>
                      <w:szCs w:val="18"/>
                      <w:highlight w:val="none"/>
                      <w:lang w:val="en-US" w:eastAsia="zh-CN"/>
                    </w:rPr>
                    <w:t>0.0252</w:t>
                  </w:r>
                </w:p>
              </w:tc>
              <w:tc>
                <w:tcPr>
                  <w:tcW w:w="838" w:type="dxa"/>
                  <w:noWrap w:val="0"/>
                  <w:vAlign w:val="center"/>
                </w:tcPr>
                <w:p w14:paraId="3239FEDA">
                  <w:pPr>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w:t>
                  </w:r>
                </w:p>
              </w:tc>
            </w:tr>
            <w:tr w14:paraId="0E280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5" w:type="dxa"/>
                  <w:shd w:val="clear" w:color="auto" w:fill="auto"/>
                  <w:noWrap w:val="0"/>
                  <w:vAlign w:val="center"/>
                </w:tcPr>
                <w:p w14:paraId="7C7EA919">
                  <w:pPr>
                    <w:pStyle w:val="23"/>
                    <w:ind w:left="-240" w:leftChars="-100" w:right="-240" w:rightChars="-100" w:firstLine="0" w:firstLineChars="0"/>
                    <w:jc w:val="center"/>
                    <w:rPr>
                      <w:color w:val="auto"/>
                      <w:sz w:val="18"/>
                      <w:szCs w:val="18"/>
                    </w:rPr>
                  </w:pPr>
                  <w:r>
                    <w:rPr>
                      <w:color w:val="auto"/>
                      <w:sz w:val="18"/>
                      <w:szCs w:val="18"/>
                    </w:rPr>
                    <w:t>非甲烷总烃</w:t>
                  </w:r>
                </w:p>
                <w:p w14:paraId="2C12D658">
                  <w:pPr>
                    <w:pStyle w:val="23"/>
                    <w:ind w:left="-240" w:leftChars="-100" w:right="-240" w:rightChars="-100" w:firstLine="0" w:firstLineChars="0"/>
                    <w:jc w:val="center"/>
                    <w:rPr>
                      <w:color w:val="auto"/>
                      <w:sz w:val="18"/>
                      <w:szCs w:val="18"/>
                    </w:rPr>
                  </w:pPr>
                  <w:r>
                    <w:rPr>
                      <w:color w:val="auto"/>
                      <w:sz w:val="18"/>
                      <w:szCs w:val="18"/>
                    </w:rPr>
                    <w:t>平均排放速率</w:t>
                  </w:r>
                </w:p>
                <w:p w14:paraId="547A493D">
                  <w:pPr>
                    <w:pStyle w:val="23"/>
                    <w:ind w:left="-240" w:leftChars="-100" w:right="-240" w:rightChars="-100" w:firstLine="0" w:firstLineChars="0"/>
                    <w:jc w:val="center"/>
                    <w:rPr>
                      <w:rFonts w:hint="default" w:ascii="Times New Roman" w:hAnsi="Times New Roman" w:eastAsia="宋体" w:cs="Times New Roman"/>
                      <w:color w:val="auto"/>
                      <w:kern w:val="2"/>
                      <w:sz w:val="18"/>
                      <w:szCs w:val="18"/>
                      <w:lang w:val="en-US" w:eastAsia="zh-CN" w:bidi="ar-SA"/>
                    </w:rPr>
                  </w:pPr>
                  <w:r>
                    <w:rPr>
                      <w:color w:val="auto"/>
                      <w:sz w:val="18"/>
                      <w:szCs w:val="18"/>
                    </w:rPr>
                    <w:t>（以碳计）</w:t>
                  </w:r>
                </w:p>
              </w:tc>
              <w:tc>
                <w:tcPr>
                  <w:tcW w:w="703" w:type="dxa"/>
                  <w:noWrap w:val="0"/>
                  <w:vAlign w:val="center"/>
                </w:tcPr>
                <w:p w14:paraId="24755769">
                  <w:pPr>
                    <w:pStyle w:val="23"/>
                    <w:ind w:left="-120" w:leftChars="-50" w:right="-120" w:rightChars="-5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kg/h</w:t>
                  </w:r>
                </w:p>
              </w:tc>
              <w:tc>
                <w:tcPr>
                  <w:tcW w:w="2844" w:type="dxa"/>
                  <w:gridSpan w:val="4"/>
                  <w:noWrap w:val="0"/>
                  <w:vAlign w:val="center"/>
                </w:tcPr>
                <w:p w14:paraId="7B9D9F3B">
                  <w:pPr>
                    <w:jc w:val="center"/>
                    <w:rPr>
                      <w:rFonts w:hint="default" w:cs="Times New Roman"/>
                      <w:sz w:val="18"/>
                      <w:szCs w:val="18"/>
                      <w:highlight w:val="none"/>
                      <w:lang w:val="en-US" w:eastAsia="zh-CN"/>
                    </w:rPr>
                  </w:pPr>
                  <w:r>
                    <w:rPr>
                      <w:rFonts w:hint="eastAsia" w:cs="Times New Roman"/>
                      <w:sz w:val="18"/>
                      <w:szCs w:val="18"/>
                      <w:highlight w:val="none"/>
                      <w:lang w:val="en-US" w:eastAsia="zh-CN"/>
                    </w:rPr>
                    <w:t>0.108</w:t>
                  </w:r>
                </w:p>
              </w:tc>
              <w:tc>
                <w:tcPr>
                  <w:tcW w:w="2868" w:type="dxa"/>
                  <w:gridSpan w:val="5"/>
                  <w:noWrap w:val="0"/>
                  <w:vAlign w:val="center"/>
                </w:tcPr>
                <w:p w14:paraId="1FFC782C">
                  <w:pPr>
                    <w:jc w:val="center"/>
                    <w:rPr>
                      <w:rFonts w:hint="default" w:cs="Times New Roman"/>
                      <w:sz w:val="18"/>
                      <w:szCs w:val="18"/>
                      <w:highlight w:val="none"/>
                      <w:lang w:val="en-US" w:eastAsia="zh-CN"/>
                    </w:rPr>
                  </w:pPr>
                  <w:r>
                    <w:rPr>
                      <w:rFonts w:hint="eastAsia" w:cs="Times New Roman"/>
                      <w:sz w:val="18"/>
                      <w:szCs w:val="18"/>
                      <w:highlight w:val="none"/>
                      <w:lang w:val="en-US" w:eastAsia="zh-CN"/>
                    </w:rPr>
                    <w:t>0.0247</w:t>
                  </w:r>
                </w:p>
              </w:tc>
              <w:tc>
                <w:tcPr>
                  <w:tcW w:w="838" w:type="dxa"/>
                  <w:noWrap w:val="0"/>
                  <w:vAlign w:val="center"/>
                </w:tcPr>
                <w:p w14:paraId="6402A5F2">
                  <w:pPr>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w:t>
                  </w:r>
                </w:p>
              </w:tc>
            </w:tr>
          </w:tbl>
          <w:p w14:paraId="351AB800">
            <w:pPr>
              <w:spacing w:line="360" w:lineRule="auto"/>
              <w:jc w:val="center"/>
              <w:rPr>
                <w:rFonts w:hint="default" w:ascii="Times New Roman" w:hAnsi="Times New Roman" w:eastAsia="宋体" w:cs="Times New Roman"/>
                <w:b/>
                <w:spacing w:val="-2"/>
                <w:sz w:val="18"/>
                <w:szCs w:val="18"/>
              </w:rPr>
            </w:pPr>
            <w:r>
              <w:rPr>
                <w:rFonts w:hint="default" w:ascii="Times New Roman" w:hAnsi="Times New Roman" w:eastAsia="宋体" w:cs="Times New Roman"/>
                <w:b/>
                <w:spacing w:val="-2"/>
                <w:sz w:val="18"/>
                <w:szCs w:val="18"/>
              </w:rPr>
              <w:t>表</w:t>
            </w:r>
            <w:r>
              <w:rPr>
                <w:rFonts w:hint="eastAsia" w:cs="Times New Roman"/>
                <w:b/>
                <w:spacing w:val="-2"/>
                <w:sz w:val="18"/>
                <w:szCs w:val="18"/>
                <w:lang w:val="en-US" w:eastAsia="zh-CN"/>
              </w:rPr>
              <w:t>2</w:t>
            </w:r>
            <w:r>
              <w:rPr>
                <w:rFonts w:hint="default" w:ascii="Times New Roman" w:hAnsi="Times New Roman" w:eastAsia="宋体" w:cs="Times New Roman"/>
                <w:b/>
                <w:spacing w:val="-2"/>
                <w:sz w:val="18"/>
                <w:szCs w:val="18"/>
                <w:lang w:val="en-US" w:eastAsia="zh-CN"/>
              </w:rPr>
              <w:t>吹膜、制袋、印刷进</w:t>
            </w:r>
            <w:r>
              <w:rPr>
                <w:rFonts w:hint="eastAsia" w:ascii="Times New Roman" w:hAnsi="Times New Roman" w:eastAsia="宋体" w:cs="Times New Roman"/>
                <w:b/>
                <w:spacing w:val="-2"/>
                <w:sz w:val="18"/>
                <w:szCs w:val="18"/>
                <w:lang w:val="en-US" w:eastAsia="zh-CN"/>
              </w:rPr>
              <w:t>、出</w:t>
            </w:r>
            <w:r>
              <w:rPr>
                <w:rFonts w:hint="default" w:ascii="Times New Roman" w:hAnsi="Times New Roman" w:eastAsia="宋体" w:cs="Times New Roman"/>
                <w:b/>
                <w:spacing w:val="-2"/>
                <w:sz w:val="18"/>
                <w:szCs w:val="18"/>
                <w:lang w:val="en-US" w:eastAsia="zh-CN"/>
              </w:rPr>
              <w:t>口</w:t>
            </w:r>
            <w:r>
              <w:rPr>
                <w:rFonts w:hint="eastAsia" w:ascii="Times New Roman" w:hAnsi="Times New Roman" w:eastAsia="宋体" w:cs="Times New Roman"/>
                <w:b/>
                <w:spacing w:val="-2"/>
                <w:sz w:val="18"/>
                <w:szCs w:val="18"/>
                <w:lang w:val="en-US" w:eastAsia="zh-CN"/>
              </w:rPr>
              <w:t>臭气浓度</w:t>
            </w:r>
            <w:r>
              <w:rPr>
                <w:rFonts w:hint="default" w:ascii="Times New Roman" w:hAnsi="Times New Roman" w:eastAsia="宋体" w:cs="Times New Roman"/>
                <w:b/>
                <w:spacing w:val="-2"/>
                <w:sz w:val="18"/>
                <w:szCs w:val="18"/>
              </w:rPr>
              <w:t>检测结果</w:t>
            </w:r>
            <w:r>
              <w:rPr>
                <w:rFonts w:hint="default" w:ascii="Times New Roman" w:hAnsi="Times New Roman" w:eastAsia="宋体" w:cs="Times New Roman"/>
                <w:sz w:val="18"/>
                <w:szCs w:val="18"/>
              </w:rPr>
              <w:t>202</w:t>
            </w:r>
            <w:r>
              <w:rPr>
                <w:rFonts w:hint="eastAsia" w:cs="Times New Roman"/>
                <w:sz w:val="18"/>
                <w:szCs w:val="18"/>
                <w:lang w:val="en-US" w:eastAsia="zh-CN"/>
              </w:rPr>
              <w:t>5.06.30</w:t>
            </w:r>
          </w:p>
          <w:tbl>
            <w:tblPr>
              <w:tblStyle w:val="15"/>
              <w:tblW w:w="7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196"/>
              <w:gridCol w:w="943"/>
              <w:gridCol w:w="1085"/>
              <w:gridCol w:w="1086"/>
              <w:gridCol w:w="1127"/>
              <w:gridCol w:w="872"/>
            </w:tblGrid>
            <w:tr w14:paraId="4EB5F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631" w:type="dxa"/>
                  <w:vAlign w:val="center"/>
                </w:tcPr>
                <w:p w14:paraId="1CFAD78D">
                  <w:pPr>
                    <w:spacing w:line="240" w:lineRule="auto"/>
                    <w:jc w:val="center"/>
                    <w:rPr>
                      <w:rFonts w:hint="default" w:cs="Times New Roman"/>
                      <w:b/>
                      <w:color w:val="000000" w:themeColor="text1"/>
                      <w:spacing w:val="-2"/>
                      <w:sz w:val="18"/>
                      <w:szCs w:val="18"/>
                      <w:vertAlign w:val="baseline"/>
                      <w:lang w:val="en-US" w:eastAsia="zh-CN"/>
                      <w14:textFill>
                        <w14:solidFill>
                          <w14:schemeClr w14:val="tx1"/>
                        </w14:solidFill>
                      </w14:textFill>
                    </w:rPr>
                  </w:pPr>
                  <w:r>
                    <w:rPr>
                      <w:rFonts w:hint="eastAsia" w:cs="Times New Roman"/>
                      <w:b/>
                      <w:color w:val="000000" w:themeColor="text1"/>
                      <w:spacing w:val="-2"/>
                      <w:sz w:val="18"/>
                      <w:szCs w:val="18"/>
                      <w:vertAlign w:val="baseline"/>
                      <w:lang w:val="en-US" w:eastAsia="zh-CN"/>
                      <w14:textFill>
                        <w14:solidFill>
                          <w14:schemeClr w14:val="tx1"/>
                        </w14:solidFill>
                      </w14:textFill>
                    </w:rPr>
                    <w:t>采样日期</w:t>
                  </w:r>
                </w:p>
              </w:tc>
              <w:tc>
                <w:tcPr>
                  <w:tcW w:w="2196" w:type="dxa"/>
                  <w:vAlign w:val="center"/>
                </w:tcPr>
                <w:p w14:paraId="4CDE7183">
                  <w:pPr>
                    <w:spacing w:line="240" w:lineRule="auto"/>
                    <w:jc w:val="center"/>
                    <w:rPr>
                      <w:rFonts w:hint="default" w:cs="Times New Roman"/>
                      <w:b/>
                      <w:color w:val="000000" w:themeColor="text1"/>
                      <w:spacing w:val="-2"/>
                      <w:sz w:val="18"/>
                      <w:szCs w:val="18"/>
                      <w:vertAlign w:val="baseline"/>
                      <w:lang w:val="en-US" w:eastAsia="zh-CN"/>
                      <w14:textFill>
                        <w14:solidFill>
                          <w14:schemeClr w14:val="tx1"/>
                        </w14:solidFill>
                      </w14:textFill>
                    </w:rPr>
                  </w:pPr>
                  <w:r>
                    <w:rPr>
                      <w:rFonts w:hint="eastAsia" w:cs="Times New Roman"/>
                      <w:b/>
                      <w:color w:val="000000" w:themeColor="text1"/>
                      <w:spacing w:val="-2"/>
                      <w:sz w:val="18"/>
                      <w:szCs w:val="18"/>
                      <w:vertAlign w:val="baseline"/>
                      <w:lang w:val="en-US" w:eastAsia="zh-CN"/>
                      <w14:textFill>
                        <w14:solidFill>
                          <w14:schemeClr w14:val="tx1"/>
                        </w14:solidFill>
                      </w14:textFill>
                    </w:rPr>
                    <w:t>样品编号</w:t>
                  </w:r>
                </w:p>
              </w:tc>
              <w:tc>
                <w:tcPr>
                  <w:tcW w:w="943" w:type="dxa"/>
                  <w:vAlign w:val="center"/>
                </w:tcPr>
                <w:p w14:paraId="237B72DD">
                  <w:pPr>
                    <w:spacing w:line="360" w:lineRule="auto"/>
                    <w:jc w:val="center"/>
                    <w:rPr>
                      <w:rFonts w:hint="default" w:ascii="Times New Roman" w:hAnsi="Times New Roman" w:eastAsia="宋体" w:cs="Times New Roman"/>
                      <w:b/>
                      <w:color w:val="000000" w:themeColor="text1"/>
                      <w:spacing w:val="-2"/>
                      <w:sz w:val="18"/>
                      <w:szCs w:val="18"/>
                      <w:vertAlign w:val="baseline"/>
                      <w:lang w:val="en-US" w:eastAsia="zh-CN"/>
                      <w14:textFill>
                        <w14:solidFill>
                          <w14:schemeClr w14:val="tx1"/>
                        </w14:solidFill>
                      </w14:textFill>
                    </w:rPr>
                  </w:pPr>
                  <w:r>
                    <w:rPr>
                      <w:rFonts w:hint="eastAsia" w:cs="Times New Roman"/>
                      <w:b/>
                      <w:color w:val="000000" w:themeColor="text1"/>
                      <w:spacing w:val="-2"/>
                      <w:sz w:val="18"/>
                      <w:szCs w:val="18"/>
                      <w:vertAlign w:val="baseline"/>
                      <w:lang w:val="en-US" w:eastAsia="zh-CN"/>
                      <w14:textFill>
                        <w14:solidFill>
                          <w14:schemeClr w14:val="tx1"/>
                        </w14:solidFill>
                      </w14:textFill>
                    </w:rPr>
                    <w:t>采样时间</w:t>
                  </w:r>
                </w:p>
              </w:tc>
              <w:tc>
                <w:tcPr>
                  <w:tcW w:w="1085" w:type="dxa"/>
                  <w:vAlign w:val="center"/>
                </w:tcPr>
                <w:p w14:paraId="38B46042">
                  <w:pPr>
                    <w:spacing w:line="360" w:lineRule="auto"/>
                    <w:jc w:val="center"/>
                    <w:rPr>
                      <w:rFonts w:hint="default" w:ascii="Times New Roman" w:hAnsi="Times New Roman" w:eastAsia="宋体" w:cs="Times New Roman"/>
                      <w:b/>
                      <w:color w:val="000000" w:themeColor="text1"/>
                      <w:spacing w:val="-2"/>
                      <w:sz w:val="18"/>
                      <w:szCs w:val="18"/>
                      <w:vertAlign w:val="baseline"/>
                      <w:lang w:val="en-US" w:eastAsia="zh-CN"/>
                      <w14:textFill>
                        <w14:solidFill>
                          <w14:schemeClr w14:val="tx1"/>
                        </w14:solidFill>
                      </w14:textFill>
                    </w:rPr>
                  </w:pPr>
                  <w:r>
                    <w:rPr>
                      <w:rFonts w:hint="eastAsia" w:cs="Times New Roman"/>
                      <w:b/>
                      <w:color w:val="000000" w:themeColor="text1"/>
                      <w:spacing w:val="-2"/>
                      <w:sz w:val="18"/>
                      <w:szCs w:val="18"/>
                      <w:vertAlign w:val="baseline"/>
                      <w:lang w:val="en-US" w:eastAsia="zh-CN"/>
                      <w14:textFill>
                        <w14:solidFill>
                          <w14:schemeClr w14:val="tx1"/>
                        </w14:solidFill>
                      </w14:textFill>
                    </w:rPr>
                    <w:t>采样位置</w:t>
                  </w:r>
                </w:p>
              </w:tc>
              <w:tc>
                <w:tcPr>
                  <w:tcW w:w="1086" w:type="dxa"/>
                  <w:vAlign w:val="center"/>
                </w:tcPr>
                <w:p w14:paraId="6A4A86AF">
                  <w:pPr>
                    <w:spacing w:line="240" w:lineRule="auto"/>
                    <w:jc w:val="center"/>
                    <w:rPr>
                      <w:rFonts w:hint="eastAsia" w:cs="Times New Roman"/>
                      <w:b/>
                      <w:color w:val="000000" w:themeColor="text1"/>
                      <w:spacing w:val="-2"/>
                      <w:sz w:val="18"/>
                      <w:szCs w:val="18"/>
                      <w:vertAlign w:val="baseline"/>
                      <w:lang w:val="en-US" w:eastAsia="zh-CN"/>
                      <w14:textFill>
                        <w14:solidFill>
                          <w14:schemeClr w14:val="tx1"/>
                        </w14:solidFill>
                      </w14:textFill>
                    </w:rPr>
                  </w:pPr>
                  <w:r>
                    <w:rPr>
                      <w:rFonts w:hint="eastAsia" w:cs="Times New Roman"/>
                      <w:b/>
                      <w:color w:val="000000" w:themeColor="text1"/>
                      <w:spacing w:val="-2"/>
                      <w:sz w:val="18"/>
                      <w:szCs w:val="18"/>
                      <w:vertAlign w:val="baseline"/>
                      <w:lang w:val="en-US" w:eastAsia="zh-CN"/>
                      <w14:textFill>
                        <w14:solidFill>
                          <w14:schemeClr w14:val="tx1"/>
                        </w14:solidFill>
                      </w14:textFill>
                    </w:rPr>
                    <w:t>臭气浓度</w:t>
                  </w:r>
                </w:p>
                <w:p w14:paraId="682D2992">
                  <w:pPr>
                    <w:spacing w:line="240" w:lineRule="auto"/>
                    <w:jc w:val="center"/>
                    <w:rPr>
                      <w:rFonts w:hint="default" w:ascii="Times New Roman" w:hAnsi="Times New Roman" w:eastAsia="宋体" w:cs="Times New Roman"/>
                      <w:b/>
                      <w:color w:val="000000" w:themeColor="text1"/>
                      <w:spacing w:val="-2"/>
                      <w:sz w:val="18"/>
                      <w:szCs w:val="18"/>
                      <w:vertAlign w:val="baseline"/>
                      <w:lang w:val="en-US" w:eastAsia="zh-CN"/>
                      <w14:textFill>
                        <w14:solidFill>
                          <w14:schemeClr w14:val="tx1"/>
                        </w14:solidFill>
                      </w14:textFill>
                    </w:rPr>
                  </w:pPr>
                  <w:r>
                    <w:rPr>
                      <w:rFonts w:hint="eastAsia" w:cs="Times New Roman"/>
                      <w:b/>
                      <w:color w:val="000000" w:themeColor="text1"/>
                      <w:spacing w:val="-2"/>
                      <w:sz w:val="18"/>
                      <w:szCs w:val="18"/>
                      <w:vertAlign w:val="baseline"/>
                      <w:lang w:val="en-US" w:eastAsia="zh-CN"/>
                      <w14:textFill>
                        <w14:solidFill>
                          <w14:schemeClr w14:val="tx1"/>
                        </w14:solidFill>
                      </w14:textFill>
                    </w:rPr>
                    <w:t>（无量纲）</w:t>
                  </w:r>
                </w:p>
              </w:tc>
              <w:tc>
                <w:tcPr>
                  <w:tcW w:w="1127" w:type="dxa"/>
                  <w:vAlign w:val="center"/>
                </w:tcPr>
                <w:p w14:paraId="53612E63">
                  <w:pPr>
                    <w:spacing w:line="240" w:lineRule="auto"/>
                    <w:jc w:val="center"/>
                    <w:rPr>
                      <w:rFonts w:hint="eastAsia" w:cs="Times New Roman"/>
                      <w:b/>
                      <w:color w:val="000000" w:themeColor="text1"/>
                      <w:spacing w:val="-2"/>
                      <w:sz w:val="18"/>
                      <w:szCs w:val="18"/>
                      <w:vertAlign w:val="baseline"/>
                      <w:lang w:val="en-US" w:eastAsia="zh-CN"/>
                      <w14:textFill>
                        <w14:solidFill>
                          <w14:schemeClr w14:val="tx1"/>
                        </w14:solidFill>
                      </w14:textFill>
                    </w:rPr>
                  </w:pPr>
                  <w:r>
                    <w:rPr>
                      <w:rFonts w:hint="eastAsia" w:cs="Times New Roman"/>
                      <w:b/>
                      <w:color w:val="000000" w:themeColor="text1"/>
                      <w:spacing w:val="-2"/>
                      <w:sz w:val="18"/>
                      <w:szCs w:val="18"/>
                      <w:vertAlign w:val="baseline"/>
                      <w:lang w:val="en-US" w:eastAsia="zh-CN"/>
                      <w14:textFill>
                        <w14:solidFill>
                          <w14:schemeClr w14:val="tx1"/>
                        </w14:solidFill>
                      </w14:textFill>
                    </w:rPr>
                    <w:t>最大值</w:t>
                  </w:r>
                </w:p>
                <w:p w14:paraId="4F01C46E">
                  <w:pPr>
                    <w:spacing w:line="240" w:lineRule="auto"/>
                    <w:jc w:val="center"/>
                    <w:rPr>
                      <w:rFonts w:hint="default" w:cs="Times New Roman"/>
                      <w:b/>
                      <w:color w:val="000000" w:themeColor="text1"/>
                      <w:spacing w:val="-2"/>
                      <w:sz w:val="18"/>
                      <w:szCs w:val="18"/>
                      <w:vertAlign w:val="baseline"/>
                      <w:lang w:val="en-US" w:eastAsia="zh-CN"/>
                      <w14:textFill>
                        <w14:solidFill>
                          <w14:schemeClr w14:val="tx1"/>
                        </w14:solidFill>
                      </w14:textFill>
                    </w:rPr>
                  </w:pPr>
                  <w:r>
                    <w:rPr>
                      <w:rFonts w:hint="eastAsia" w:cs="Times New Roman"/>
                      <w:b/>
                      <w:color w:val="000000" w:themeColor="text1"/>
                      <w:spacing w:val="-2"/>
                      <w:sz w:val="18"/>
                      <w:szCs w:val="18"/>
                      <w:vertAlign w:val="baseline"/>
                      <w:lang w:val="en-US" w:eastAsia="zh-CN"/>
                      <w14:textFill>
                        <w14:solidFill>
                          <w14:schemeClr w14:val="tx1"/>
                        </w14:solidFill>
                      </w14:textFill>
                    </w:rPr>
                    <w:t>（无量纲）</w:t>
                  </w:r>
                </w:p>
              </w:tc>
              <w:tc>
                <w:tcPr>
                  <w:tcW w:w="872" w:type="dxa"/>
                  <w:vAlign w:val="center"/>
                </w:tcPr>
                <w:p w14:paraId="6FAF877F">
                  <w:pPr>
                    <w:spacing w:line="240" w:lineRule="auto"/>
                    <w:jc w:val="center"/>
                    <w:rPr>
                      <w:rFonts w:hint="default" w:cs="Times New Roman"/>
                      <w:b/>
                      <w:color w:val="000000" w:themeColor="text1"/>
                      <w:spacing w:val="-2"/>
                      <w:sz w:val="18"/>
                      <w:szCs w:val="18"/>
                      <w:vertAlign w:val="baseline"/>
                      <w:lang w:val="en-US" w:eastAsia="zh-CN"/>
                      <w14:textFill>
                        <w14:solidFill>
                          <w14:schemeClr w14:val="tx1"/>
                        </w14:solidFill>
                      </w14:textFill>
                    </w:rPr>
                  </w:pPr>
                  <w:r>
                    <w:rPr>
                      <w:rFonts w:hint="eastAsia" w:cs="Times New Roman"/>
                      <w:b/>
                      <w:color w:val="000000" w:themeColor="text1"/>
                      <w:spacing w:val="-2"/>
                      <w:sz w:val="18"/>
                      <w:szCs w:val="18"/>
                      <w:vertAlign w:val="baseline"/>
                      <w:lang w:val="en-US" w:eastAsia="zh-CN"/>
                      <w14:textFill>
                        <w14:solidFill>
                          <w14:schemeClr w14:val="tx1"/>
                        </w14:solidFill>
                      </w14:textFill>
                    </w:rPr>
                    <w:t>限值</w:t>
                  </w:r>
                </w:p>
              </w:tc>
            </w:tr>
            <w:tr w14:paraId="278AE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31" w:type="dxa"/>
                  <w:vMerge w:val="restart"/>
                  <w:vAlign w:val="center"/>
                </w:tcPr>
                <w:p w14:paraId="5DBE4DE8">
                  <w:pPr>
                    <w:spacing w:line="360" w:lineRule="auto"/>
                    <w:jc w:val="center"/>
                    <w:rPr>
                      <w:rFonts w:hint="default" w:ascii="宋体" w:hAnsi="宋体" w:eastAsia="宋体" w:cs="宋体"/>
                      <w:b w:val="0"/>
                      <w:bCs/>
                      <w:color w:val="000000" w:themeColor="text1"/>
                      <w:spacing w:val="-2"/>
                      <w:sz w:val="18"/>
                      <w:szCs w:val="18"/>
                      <w:vertAlign w:val="baseline"/>
                      <w:lang w:val="en-US" w:eastAsia="zh-CN"/>
                      <w14:textFill>
                        <w14:solidFill>
                          <w14:schemeClr w14:val="tx1"/>
                        </w14:solidFill>
                      </w14:textFill>
                    </w:rPr>
                  </w:pPr>
                  <w:r>
                    <w:rPr>
                      <w:rFonts w:hint="eastAsia" w:ascii="Times New Roman" w:hAnsi="Times New Roman" w:eastAsia="宋体" w:cs="Times New Roman"/>
                      <w:kern w:val="2"/>
                      <w:sz w:val="18"/>
                      <w:szCs w:val="18"/>
                      <w:lang w:val="en-US" w:eastAsia="zh-CN" w:bidi="ar-SA"/>
                    </w:rPr>
                    <w:t>202</w:t>
                  </w:r>
                  <w:r>
                    <w:rPr>
                      <w:rFonts w:hint="eastAsia" w:cs="Times New Roman"/>
                      <w:kern w:val="2"/>
                      <w:sz w:val="18"/>
                      <w:szCs w:val="18"/>
                      <w:lang w:val="en-US" w:eastAsia="zh-CN" w:bidi="ar-SA"/>
                    </w:rPr>
                    <w:t>5.06.30</w:t>
                  </w:r>
                </w:p>
              </w:tc>
              <w:tc>
                <w:tcPr>
                  <w:tcW w:w="2196" w:type="dxa"/>
                  <w:vAlign w:val="center"/>
                </w:tcPr>
                <w:p w14:paraId="1947AAD9">
                  <w:pPr>
                    <w:spacing w:line="360" w:lineRule="auto"/>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2506Y161-气-001-101</w:t>
                  </w:r>
                </w:p>
              </w:tc>
              <w:tc>
                <w:tcPr>
                  <w:tcW w:w="943" w:type="dxa"/>
                  <w:vAlign w:val="center"/>
                </w:tcPr>
                <w:p w14:paraId="497CAC3C">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10:40</w:t>
                  </w:r>
                </w:p>
              </w:tc>
              <w:tc>
                <w:tcPr>
                  <w:tcW w:w="1085" w:type="dxa"/>
                  <w:vMerge w:val="restart"/>
                  <w:shd w:val="clear" w:color="auto" w:fill="auto"/>
                  <w:vAlign w:val="center"/>
                </w:tcPr>
                <w:p w14:paraId="305579F7">
                  <w:pPr>
                    <w:tabs>
                      <w:tab w:val="left" w:pos="386"/>
                    </w:tabs>
                    <w:spacing w:line="240" w:lineRule="auto"/>
                    <w:jc w:val="center"/>
                    <w:rPr>
                      <w:rFonts w:hint="default" w:ascii="宋体" w:hAnsi="宋体" w:eastAsia="宋体" w:cs="宋体"/>
                      <w:b w:val="0"/>
                      <w:bCs/>
                      <w:color w:val="000000" w:themeColor="text1"/>
                      <w:spacing w:val="-2"/>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kern w:val="2"/>
                      <w:sz w:val="18"/>
                      <w:szCs w:val="18"/>
                      <w:u w:val="none"/>
                      <w:lang w:val="en-US" w:eastAsia="zh-CN" w:bidi="ar-SA"/>
                    </w:rPr>
                    <w:t>吹膜、制袋、印刷进口</w:t>
                  </w:r>
                </w:p>
              </w:tc>
              <w:tc>
                <w:tcPr>
                  <w:tcW w:w="1086" w:type="dxa"/>
                  <w:vAlign w:val="center"/>
                </w:tcPr>
                <w:p w14:paraId="114F02FC">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1318</w:t>
                  </w:r>
                </w:p>
              </w:tc>
              <w:tc>
                <w:tcPr>
                  <w:tcW w:w="1127" w:type="dxa"/>
                  <w:vMerge w:val="restart"/>
                  <w:vAlign w:val="center"/>
                </w:tcPr>
                <w:p w14:paraId="6A8CFC2E">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1737</w:t>
                  </w:r>
                </w:p>
              </w:tc>
              <w:tc>
                <w:tcPr>
                  <w:tcW w:w="872" w:type="dxa"/>
                  <w:vMerge w:val="restart"/>
                  <w:vAlign w:val="center"/>
                </w:tcPr>
                <w:p w14:paraId="6A8DCE40">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w:t>
                  </w:r>
                </w:p>
              </w:tc>
            </w:tr>
            <w:tr w14:paraId="536B1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31" w:type="dxa"/>
                  <w:vMerge w:val="continue"/>
                </w:tcPr>
                <w:p w14:paraId="7A4C3BE7">
                  <w:pPr>
                    <w:spacing w:line="360" w:lineRule="auto"/>
                    <w:jc w:val="center"/>
                    <w:rPr>
                      <w:rFonts w:hint="eastAsia" w:ascii="宋体" w:hAnsi="宋体" w:eastAsia="宋体" w:cs="宋体"/>
                      <w:b w:val="0"/>
                      <w:bCs/>
                      <w:color w:val="000000" w:themeColor="text1"/>
                      <w:spacing w:val="-2"/>
                      <w:sz w:val="18"/>
                      <w:szCs w:val="18"/>
                      <w:vertAlign w:val="baseline"/>
                      <w14:textFill>
                        <w14:solidFill>
                          <w14:schemeClr w14:val="tx1"/>
                        </w14:solidFill>
                      </w14:textFill>
                    </w:rPr>
                  </w:pPr>
                </w:p>
              </w:tc>
              <w:tc>
                <w:tcPr>
                  <w:tcW w:w="2196" w:type="dxa"/>
                  <w:vAlign w:val="center"/>
                </w:tcPr>
                <w:p w14:paraId="06DD2BCC">
                  <w:pPr>
                    <w:spacing w:line="360" w:lineRule="auto"/>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2506Y161-气-001-102</w:t>
                  </w:r>
                </w:p>
              </w:tc>
              <w:tc>
                <w:tcPr>
                  <w:tcW w:w="943" w:type="dxa"/>
                  <w:vAlign w:val="center"/>
                </w:tcPr>
                <w:p w14:paraId="586E34E8">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12:44</w:t>
                  </w:r>
                </w:p>
              </w:tc>
              <w:tc>
                <w:tcPr>
                  <w:tcW w:w="1085" w:type="dxa"/>
                  <w:vMerge w:val="continue"/>
                  <w:vAlign w:val="center"/>
                </w:tcPr>
                <w:p w14:paraId="1719E8F3">
                  <w:pPr>
                    <w:spacing w:line="240" w:lineRule="auto"/>
                    <w:jc w:val="center"/>
                    <w:rPr>
                      <w:rFonts w:hint="eastAsia" w:ascii="宋体" w:hAnsi="宋体" w:eastAsia="宋体" w:cs="宋体"/>
                      <w:b w:val="0"/>
                      <w:bCs/>
                      <w:color w:val="000000" w:themeColor="text1"/>
                      <w:spacing w:val="-2"/>
                      <w:sz w:val="18"/>
                      <w:szCs w:val="18"/>
                      <w:vertAlign w:val="baseline"/>
                      <w14:textFill>
                        <w14:solidFill>
                          <w14:schemeClr w14:val="tx1"/>
                        </w14:solidFill>
                      </w14:textFill>
                    </w:rPr>
                  </w:pPr>
                </w:p>
              </w:tc>
              <w:tc>
                <w:tcPr>
                  <w:tcW w:w="1086" w:type="dxa"/>
                  <w:vAlign w:val="center"/>
                </w:tcPr>
                <w:p w14:paraId="3021D4DF">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1737</w:t>
                  </w:r>
                </w:p>
              </w:tc>
              <w:tc>
                <w:tcPr>
                  <w:tcW w:w="1127" w:type="dxa"/>
                  <w:vMerge w:val="continue"/>
                  <w:vAlign w:val="center"/>
                </w:tcPr>
                <w:p w14:paraId="69FFF588">
                  <w:pPr>
                    <w:keepNext w:val="0"/>
                    <w:keepLines w:val="0"/>
                    <w:widowControl/>
                    <w:suppressLineNumbers w:val="0"/>
                    <w:jc w:val="center"/>
                    <w:textAlignment w:val="center"/>
                    <w:rPr>
                      <w:rFonts w:hint="eastAsia" w:ascii="Times New Roman" w:hAnsi="Times New Roman" w:eastAsia="宋体" w:cs="Times New Roman"/>
                      <w:kern w:val="2"/>
                      <w:sz w:val="18"/>
                      <w:szCs w:val="18"/>
                      <w:lang w:val="en-US" w:eastAsia="zh-CN" w:bidi="ar-SA"/>
                    </w:rPr>
                  </w:pPr>
                </w:p>
              </w:tc>
              <w:tc>
                <w:tcPr>
                  <w:tcW w:w="872" w:type="dxa"/>
                  <w:vMerge w:val="continue"/>
                  <w:vAlign w:val="center"/>
                </w:tcPr>
                <w:p w14:paraId="3DB60838">
                  <w:pPr>
                    <w:keepNext w:val="0"/>
                    <w:keepLines w:val="0"/>
                    <w:widowControl/>
                    <w:suppressLineNumbers w:val="0"/>
                    <w:jc w:val="center"/>
                    <w:textAlignment w:val="center"/>
                    <w:rPr>
                      <w:rFonts w:hint="eastAsia" w:ascii="Times New Roman" w:hAnsi="Times New Roman" w:eastAsia="宋体" w:cs="Times New Roman"/>
                      <w:kern w:val="2"/>
                      <w:sz w:val="18"/>
                      <w:szCs w:val="18"/>
                      <w:lang w:val="en-US" w:eastAsia="zh-CN" w:bidi="ar-SA"/>
                    </w:rPr>
                  </w:pPr>
                </w:p>
              </w:tc>
            </w:tr>
            <w:tr w14:paraId="080E5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1" w:type="dxa"/>
                  <w:vMerge w:val="continue"/>
                </w:tcPr>
                <w:p w14:paraId="577C305B">
                  <w:pPr>
                    <w:spacing w:line="360" w:lineRule="auto"/>
                    <w:jc w:val="center"/>
                    <w:rPr>
                      <w:rFonts w:hint="eastAsia" w:ascii="宋体" w:hAnsi="宋体" w:eastAsia="宋体" w:cs="宋体"/>
                      <w:b w:val="0"/>
                      <w:bCs/>
                      <w:color w:val="000000" w:themeColor="text1"/>
                      <w:spacing w:val="-2"/>
                      <w:sz w:val="18"/>
                      <w:szCs w:val="18"/>
                      <w:vertAlign w:val="baseline"/>
                      <w14:textFill>
                        <w14:solidFill>
                          <w14:schemeClr w14:val="tx1"/>
                        </w14:solidFill>
                      </w14:textFill>
                    </w:rPr>
                  </w:pPr>
                </w:p>
              </w:tc>
              <w:tc>
                <w:tcPr>
                  <w:tcW w:w="2196" w:type="dxa"/>
                  <w:vAlign w:val="center"/>
                </w:tcPr>
                <w:p w14:paraId="293563CB">
                  <w:pPr>
                    <w:spacing w:line="360" w:lineRule="auto"/>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2506Y161-气-001-103</w:t>
                  </w:r>
                </w:p>
              </w:tc>
              <w:tc>
                <w:tcPr>
                  <w:tcW w:w="943" w:type="dxa"/>
                  <w:vAlign w:val="center"/>
                </w:tcPr>
                <w:p w14:paraId="47C2E996">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14:47</w:t>
                  </w:r>
                </w:p>
              </w:tc>
              <w:tc>
                <w:tcPr>
                  <w:tcW w:w="1085" w:type="dxa"/>
                  <w:vMerge w:val="continue"/>
                  <w:vAlign w:val="center"/>
                </w:tcPr>
                <w:p w14:paraId="31927B88">
                  <w:pPr>
                    <w:spacing w:line="240" w:lineRule="auto"/>
                    <w:jc w:val="center"/>
                    <w:rPr>
                      <w:rFonts w:hint="eastAsia" w:ascii="宋体" w:hAnsi="宋体" w:eastAsia="宋体" w:cs="宋体"/>
                      <w:b w:val="0"/>
                      <w:bCs/>
                      <w:color w:val="000000" w:themeColor="text1"/>
                      <w:spacing w:val="-2"/>
                      <w:sz w:val="18"/>
                      <w:szCs w:val="18"/>
                      <w:vertAlign w:val="baseline"/>
                      <w14:textFill>
                        <w14:solidFill>
                          <w14:schemeClr w14:val="tx1"/>
                        </w14:solidFill>
                      </w14:textFill>
                    </w:rPr>
                  </w:pPr>
                </w:p>
              </w:tc>
              <w:tc>
                <w:tcPr>
                  <w:tcW w:w="1086" w:type="dxa"/>
                  <w:vAlign w:val="center"/>
                </w:tcPr>
                <w:p w14:paraId="31BFC08E">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1513</w:t>
                  </w:r>
                </w:p>
              </w:tc>
              <w:tc>
                <w:tcPr>
                  <w:tcW w:w="1127" w:type="dxa"/>
                  <w:vMerge w:val="continue"/>
                  <w:vAlign w:val="center"/>
                </w:tcPr>
                <w:p w14:paraId="78FDB3AC">
                  <w:pPr>
                    <w:keepNext w:val="0"/>
                    <w:keepLines w:val="0"/>
                    <w:widowControl/>
                    <w:suppressLineNumbers w:val="0"/>
                    <w:jc w:val="center"/>
                    <w:textAlignment w:val="center"/>
                    <w:rPr>
                      <w:rFonts w:hint="eastAsia" w:ascii="Times New Roman" w:hAnsi="Times New Roman" w:eastAsia="宋体" w:cs="Times New Roman"/>
                      <w:kern w:val="2"/>
                      <w:sz w:val="18"/>
                      <w:szCs w:val="18"/>
                      <w:lang w:val="en-US" w:eastAsia="zh-CN" w:bidi="ar-SA"/>
                    </w:rPr>
                  </w:pPr>
                </w:p>
              </w:tc>
              <w:tc>
                <w:tcPr>
                  <w:tcW w:w="872" w:type="dxa"/>
                  <w:vMerge w:val="continue"/>
                  <w:vAlign w:val="center"/>
                </w:tcPr>
                <w:p w14:paraId="509774FF">
                  <w:pPr>
                    <w:keepNext w:val="0"/>
                    <w:keepLines w:val="0"/>
                    <w:widowControl/>
                    <w:suppressLineNumbers w:val="0"/>
                    <w:jc w:val="center"/>
                    <w:textAlignment w:val="center"/>
                    <w:rPr>
                      <w:rFonts w:hint="eastAsia" w:ascii="Times New Roman" w:hAnsi="Times New Roman" w:eastAsia="宋体" w:cs="Times New Roman"/>
                      <w:kern w:val="2"/>
                      <w:sz w:val="18"/>
                      <w:szCs w:val="18"/>
                      <w:lang w:val="en-US" w:eastAsia="zh-CN" w:bidi="ar-SA"/>
                    </w:rPr>
                  </w:pPr>
                </w:p>
              </w:tc>
            </w:tr>
            <w:tr w14:paraId="548DE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31" w:type="dxa"/>
                  <w:vMerge w:val="continue"/>
                  <w:vAlign w:val="center"/>
                </w:tcPr>
                <w:p w14:paraId="42472489">
                  <w:pPr>
                    <w:spacing w:line="360" w:lineRule="auto"/>
                    <w:jc w:val="center"/>
                    <w:rPr>
                      <w:rFonts w:hint="default" w:ascii="宋体" w:hAnsi="宋体" w:eastAsia="宋体" w:cs="宋体"/>
                      <w:b w:val="0"/>
                      <w:bCs/>
                      <w:color w:val="000000" w:themeColor="text1"/>
                      <w:spacing w:val="-2"/>
                      <w:sz w:val="18"/>
                      <w:szCs w:val="18"/>
                      <w:vertAlign w:val="baseline"/>
                      <w:lang w:val="en-US"/>
                      <w14:textFill>
                        <w14:solidFill>
                          <w14:schemeClr w14:val="tx1"/>
                        </w14:solidFill>
                      </w14:textFill>
                    </w:rPr>
                  </w:pPr>
                </w:p>
              </w:tc>
              <w:tc>
                <w:tcPr>
                  <w:tcW w:w="2196" w:type="dxa"/>
                  <w:vAlign w:val="center"/>
                </w:tcPr>
                <w:p w14:paraId="58746746">
                  <w:pPr>
                    <w:spacing w:line="360" w:lineRule="auto"/>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2506Y161-气-002-101</w:t>
                  </w:r>
                </w:p>
              </w:tc>
              <w:tc>
                <w:tcPr>
                  <w:tcW w:w="943" w:type="dxa"/>
                  <w:shd w:val="clear" w:color="auto" w:fill="auto"/>
                  <w:vAlign w:val="center"/>
                </w:tcPr>
                <w:p w14:paraId="48717DFE">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10:44</w:t>
                  </w:r>
                </w:p>
              </w:tc>
              <w:tc>
                <w:tcPr>
                  <w:tcW w:w="1085" w:type="dxa"/>
                  <w:vMerge w:val="restart"/>
                  <w:shd w:val="clear" w:color="auto" w:fill="auto"/>
                  <w:vAlign w:val="center"/>
                </w:tcPr>
                <w:p w14:paraId="2F61EDB6">
                  <w:pPr>
                    <w:spacing w:line="240" w:lineRule="auto"/>
                    <w:jc w:val="center"/>
                    <w:rPr>
                      <w:rFonts w:hint="eastAsia" w:ascii="宋体" w:hAnsi="宋体" w:eastAsia="宋体" w:cs="宋体"/>
                      <w:b w:val="0"/>
                      <w:bCs/>
                      <w:color w:val="000000" w:themeColor="text1"/>
                      <w:spacing w:val="-2"/>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2"/>
                      <w:sz w:val="18"/>
                      <w:szCs w:val="18"/>
                      <w:u w:val="none"/>
                      <w:lang w:val="en-US" w:eastAsia="zh-CN" w:bidi="ar-SA"/>
                    </w:rPr>
                    <w:t>吹膜、制袋、印刷</w:t>
                  </w:r>
                  <w:r>
                    <w:rPr>
                      <w:rFonts w:hint="eastAsia" w:cs="Times New Roman"/>
                      <w:i w:val="0"/>
                      <w:iCs w:val="0"/>
                      <w:color w:val="000000"/>
                      <w:kern w:val="2"/>
                      <w:sz w:val="18"/>
                      <w:szCs w:val="18"/>
                      <w:u w:val="none"/>
                      <w:lang w:val="en-US" w:eastAsia="zh-CN" w:bidi="ar-SA"/>
                    </w:rPr>
                    <w:t>出</w:t>
                  </w:r>
                  <w:r>
                    <w:rPr>
                      <w:rFonts w:hint="default" w:ascii="Times New Roman" w:hAnsi="Times New Roman" w:eastAsia="宋体" w:cs="Times New Roman"/>
                      <w:i w:val="0"/>
                      <w:iCs w:val="0"/>
                      <w:color w:val="000000"/>
                      <w:kern w:val="2"/>
                      <w:sz w:val="18"/>
                      <w:szCs w:val="18"/>
                      <w:u w:val="none"/>
                      <w:lang w:val="en-US" w:eastAsia="zh-CN" w:bidi="ar-SA"/>
                    </w:rPr>
                    <w:t>口</w:t>
                  </w:r>
                </w:p>
              </w:tc>
              <w:tc>
                <w:tcPr>
                  <w:tcW w:w="1086" w:type="dxa"/>
                  <w:vAlign w:val="center"/>
                </w:tcPr>
                <w:p w14:paraId="256A713A">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478</w:t>
                  </w:r>
                </w:p>
              </w:tc>
              <w:tc>
                <w:tcPr>
                  <w:tcW w:w="1127" w:type="dxa"/>
                  <w:vMerge w:val="restart"/>
                  <w:vAlign w:val="center"/>
                </w:tcPr>
                <w:p w14:paraId="61FE499C">
                  <w:pPr>
                    <w:bidi w:val="0"/>
                    <w:jc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478</w:t>
                  </w:r>
                </w:p>
              </w:tc>
              <w:tc>
                <w:tcPr>
                  <w:tcW w:w="872" w:type="dxa"/>
                  <w:vMerge w:val="restart"/>
                  <w:vAlign w:val="center"/>
                </w:tcPr>
                <w:p w14:paraId="22EFF43C">
                  <w:pPr>
                    <w:bidi w:val="0"/>
                    <w:jc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2000</w:t>
                  </w:r>
                </w:p>
              </w:tc>
            </w:tr>
            <w:tr w14:paraId="3A15F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31" w:type="dxa"/>
                  <w:vMerge w:val="continue"/>
                </w:tcPr>
                <w:p w14:paraId="43B65C46">
                  <w:pPr>
                    <w:spacing w:line="360" w:lineRule="auto"/>
                    <w:jc w:val="center"/>
                    <w:rPr>
                      <w:rFonts w:hint="eastAsia" w:ascii="宋体" w:hAnsi="宋体" w:eastAsia="宋体" w:cs="宋体"/>
                      <w:b w:val="0"/>
                      <w:bCs/>
                      <w:color w:val="000000" w:themeColor="text1"/>
                      <w:spacing w:val="-2"/>
                      <w:sz w:val="18"/>
                      <w:szCs w:val="18"/>
                      <w:vertAlign w:val="baseline"/>
                      <w14:textFill>
                        <w14:solidFill>
                          <w14:schemeClr w14:val="tx1"/>
                        </w14:solidFill>
                      </w14:textFill>
                    </w:rPr>
                  </w:pPr>
                </w:p>
              </w:tc>
              <w:tc>
                <w:tcPr>
                  <w:tcW w:w="2196" w:type="dxa"/>
                  <w:vAlign w:val="center"/>
                </w:tcPr>
                <w:p w14:paraId="53F276E5">
                  <w:pPr>
                    <w:spacing w:line="360" w:lineRule="auto"/>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2506Y161-气-002-102</w:t>
                  </w:r>
                </w:p>
              </w:tc>
              <w:tc>
                <w:tcPr>
                  <w:tcW w:w="943" w:type="dxa"/>
                  <w:shd w:val="clear" w:color="auto" w:fill="auto"/>
                  <w:vAlign w:val="center"/>
                </w:tcPr>
                <w:p w14:paraId="14C6FACF">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12:48</w:t>
                  </w:r>
                </w:p>
              </w:tc>
              <w:tc>
                <w:tcPr>
                  <w:tcW w:w="1085" w:type="dxa"/>
                  <w:vMerge w:val="continue"/>
                </w:tcPr>
                <w:p w14:paraId="3E2E2C8B">
                  <w:pPr>
                    <w:spacing w:line="360" w:lineRule="auto"/>
                    <w:jc w:val="center"/>
                    <w:rPr>
                      <w:rFonts w:hint="eastAsia" w:ascii="宋体" w:hAnsi="宋体" w:eastAsia="宋体" w:cs="宋体"/>
                      <w:b w:val="0"/>
                      <w:bCs/>
                      <w:color w:val="000000" w:themeColor="text1"/>
                      <w:spacing w:val="-2"/>
                      <w:sz w:val="18"/>
                      <w:szCs w:val="18"/>
                      <w:vertAlign w:val="baseline"/>
                      <w14:textFill>
                        <w14:solidFill>
                          <w14:schemeClr w14:val="tx1"/>
                        </w14:solidFill>
                      </w14:textFill>
                    </w:rPr>
                  </w:pPr>
                </w:p>
              </w:tc>
              <w:tc>
                <w:tcPr>
                  <w:tcW w:w="1086" w:type="dxa"/>
                  <w:vAlign w:val="center"/>
                </w:tcPr>
                <w:p w14:paraId="3E3D65CB">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354</w:t>
                  </w:r>
                </w:p>
              </w:tc>
              <w:tc>
                <w:tcPr>
                  <w:tcW w:w="1127" w:type="dxa"/>
                  <w:vMerge w:val="continue"/>
                  <w:vAlign w:val="center"/>
                </w:tcPr>
                <w:p w14:paraId="02F69BAD">
                  <w:pPr>
                    <w:spacing w:line="360" w:lineRule="auto"/>
                    <w:jc w:val="center"/>
                    <w:rPr>
                      <w:rFonts w:hint="eastAsia" w:ascii="宋体" w:hAnsi="宋体" w:eastAsia="宋体" w:cs="宋体"/>
                      <w:b w:val="0"/>
                      <w:bCs/>
                      <w:color w:val="000000" w:themeColor="text1"/>
                      <w:spacing w:val="-2"/>
                      <w:sz w:val="18"/>
                      <w:szCs w:val="18"/>
                      <w:vertAlign w:val="baseline"/>
                      <w14:textFill>
                        <w14:solidFill>
                          <w14:schemeClr w14:val="tx1"/>
                        </w14:solidFill>
                      </w14:textFill>
                    </w:rPr>
                  </w:pPr>
                </w:p>
              </w:tc>
              <w:tc>
                <w:tcPr>
                  <w:tcW w:w="872" w:type="dxa"/>
                  <w:vMerge w:val="continue"/>
                  <w:vAlign w:val="center"/>
                </w:tcPr>
                <w:p w14:paraId="18B1797A">
                  <w:pPr>
                    <w:spacing w:line="360" w:lineRule="auto"/>
                    <w:jc w:val="center"/>
                    <w:rPr>
                      <w:rFonts w:hint="eastAsia" w:ascii="宋体" w:hAnsi="宋体" w:eastAsia="宋体" w:cs="宋体"/>
                      <w:b w:val="0"/>
                      <w:bCs/>
                      <w:color w:val="000000" w:themeColor="text1"/>
                      <w:spacing w:val="-2"/>
                      <w:sz w:val="18"/>
                      <w:szCs w:val="18"/>
                      <w:vertAlign w:val="baseline"/>
                      <w14:textFill>
                        <w14:solidFill>
                          <w14:schemeClr w14:val="tx1"/>
                        </w14:solidFill>
                      </w14:textFill>
                    </w:rPr>
                  </w:pPr>
                </w:p>
              </w:tc>
            </w:tr>
            <w:tr w14:paraId="33B4B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1" w:type="dxa"/>
                  <w:vMerge w:val="continue"/>
                </w:tcPr>
                <w:p w14:paraId="1E498A10">
                  <w:pPr>
                    <w:spacing w:line="360" w:lineRule="auto"/>
                    <w:jc w:val="center"/>
                    <w:rPr>
                      <w:rFonts w:hint="eastAsia" w:ascii="宋体" w:hAnsi="宋体" w:eastAsia="宋体" w:cs="宋体"/>
                      <w:b w:val="0"/>
                      <w:bCs/>
                      <w:color w:val="000000" w:themeColor="text1"/>
                      <w:spacing w:val="-2"/>
                      <w:sz w:val="18"/>
                      <w:szCs w:val="18"/>
                      <w:vertAlign w:val="baseline"/>
                      <w14:textFill>
                        <w14:solidFill>
                          <w14:schemeClr w14:val="tx1"/>
                        </w14:solidFill>
                      </w14:textFill>
                    </w:rPr>
                  </w:pPr>
                </w:p>
              </w:tc>
              <w:tc>
                <w:tcPr>
                  <w:tcW w:w="2196" w:type="dxa"/>
                  <w:vAlign w:val="center"/>
                </w:tcPr>
                <w:p w14:paraId="5E1DF8D4">
                  <w:pPr>
                    <w:spacing w:line="360" w:lineRule="auto"/>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2506Y161-气-002-103</w:t>
                  </w:r>
                </w:p>
              </w:tc>
              <w:tc>
                <w:tcPr>
                  <w:tcW w:w="943" w:type="dxa"/>
                  <w:shd w:val="clear" w:color="auto" w:fill="auto"/>
                  <w:vAlign w:val="center"/>
                </w:tcPr>
                <w:p w14:paraId="5250F389">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14:51</w:t>
                  </w:r>
                </w:p>
              </w:tc>
              <w:tc>
                <w:tcPr>
                  <w:tcW w:w="1085" w:type="dxa"/>
                  <w:vMerge w:val="continue"/>
                </w:tcPr>
                <w:p w14:paraId="0A374AAB">
                  <w:pPr>
                    <w:spacing w:line="360" w:lineRule="auto"/>
                    <w:jc w:val="center"/>
                    <w:rPr>
                      <w:rFonts w:hint="eastAsia" w:ascii="宋体" w:hAnsi="宋体" w:eastAsia="宋体" w:cs="宋体"/>
                      <w:b w:val="0"/>
                      <w:bCs/>
                      <w:color w:val="000000" w:themeColor="text1"/>
                      <w:spacing w:val="-2"/>
                      <w:sz w:val="18"/>
                      <w:szCs w:val="18"/>
                      <w:vertAlign w:val="baseline"/>
                      <w14:textFill>
                        <w14:solidFill>
                          <w14:schemeClr w14:val="tx1"/>
                        </w14:solidFill>
                      </w14:textFill>
                    </w:rPr>
                  </w:pPr>
                </w:p>
              </w:tc>
              <w:tc>
                <w:tcPr>
                  <w:tcW w:w="1086" w:type="dxa"/>
                  <w:vAlign w:val="center"/>
                </w:tcPr>
                <w:p w14:paraId="18452DE7">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269</w:t>
                  </w:r>
                </w:p>
              </w:tc>
              <w:tc>
                <w:tcPr>
                  <w:tcW w:w="1127" w:type="dxa"/>
                  <w:vMerge w:val="continue"/>
                  <w:vAlign w:val="center"/>
                </w:tcPr>
                <w:p w14:paraId="7F76CAA5">
                  <w:pPr>
                    <w:spacing w:line="360" w:lineRule="auto"/>
                    <w:jc w:val="center"/>
                    <w:rPr>
                      <w:rFonts w:hint="eastAsia" w:ascii="宋体" w:hAnsi="宋体" w:eastAsia="宋体" w:cs="宋体"/>
                      <w:b w:val="0"/>
                      <w:bCs/>
                      <w:color w:val="000000" w:themeColor="text1"/>
                      <w:spacing w:val="-2"/>
                      <w:sz w:val="18"/>
                      <w:szCs w:val="18"/>
                      <w:vertAlign w:val="baseline"/>
                      <w14:textFill>
                        <w14:solidFill>
                          <w14:schemeClr w14:val="tx1"/>
                        </w14:solidFill>
                      </w14:textFill>
                    </w:rPr>
                  </w:pPr>
                </w:p>
              </w:tc>
              <w:tc>
                <w:tcPr>
                  <w:tcW w:w="872" w:type="dxa"/>
                  <w:vMerge w:val="continue"/>
                  <w:vAlign w:val="center"/>
                </w:tcPr>
                <w:p w14:paraId="2834A8A8">
                  <w:pPr>
                    <w:spacing w:line="360" w:lineRule="auto"/>
                    <w:jc w:val="center"/>
                    <w:rPr>
                      <w:rFonts w:hint="eastAsia" w:ascii="宋体" w:hAnsi="宋体" w:eastAsia="宋体" w:cs="宋体"/>
                      <w:b w:val="0"/>
                      <w:bCs/>
                      <w:color w:val="000000" w:themeColor="text1"/>
                      <w:spacing w:val="-2"/>
                      <w:sz w:val="18"/>
                      <w:szCs w:val="18"/>
                      <w:vertAlign w:val="baseline"/>
                      <w14:textFill>
                        <w14:solidFill>
                          <w14:schemeClr w14:val="tx1"/>
                        </w14:solidFill>
                      </w14:textFill>
                    </w:rPr>
                  </w:pPr>
                </w:p>
              </w:tc>
            </w:tr>
          </w:tbl>
          <w:p w14:paraId="2BABD8EE">
            <w:pPr>
              <w:spacing w:line="360" w:lineRule="auto"/>
              <w:jc w:val="center"/>
              <w:rPr>
                <w:rFonts w:hint="default" w:ascii="Times New Roman" w:hAnsi="Times New Roman" w:eastAsia="宋体" w:cs="Times New Roman"/>
                <w:b/>
                <w:spacing w:val="-2"/>
                <w:sz w:val="18"/>
                <w:szCs w:val="18"/>
              </w:rPr>
            </w:pPr>
            <w:r>
              <w:rPr>
                <w:rFonts w:hint="default" w:ascii="Times New Roman" w:hAnsi="Times New Roman" w:eastAsia="宋体" w:cs="Times New Roman"/>
                <w:b/>
                <w:spacing w:val="-2"/>
                <w:sz w:val="18"/>
                <w:szCs w:val="18"/>
              </w:rPr>
              <w:t>表</w:t>
            </w:r>
            <w:r>
              <w:rPr>
                <w:rFonts w:hint="eastAsia" w:cs="Times New Roman"/>
                <w:b/>
                <w:spacing w:val="-2"/>
                <w:sz w:val="18"/>
                <w:szCs w:val="18"/>
                <w:lang w:val="en-US" w:eastAsia="zh-CN"/>
              </w:rPr>
              <w:t>3</w:t>
            </w:r>
            <w:r>
              <w:rPr>
                <w:rFonts w:hint="default" w:ascii="Times New Roman" w:hAnsi="Times New Roman" w:eastAsia="宋体" w:cs="Times New Roman"/>
                <w:b/>
                <w:spacing w:val="-2"/>
                <w:sz w:val="18"/>
                <w:szCs w:val="18"/>
              </w:rPr>
              <w:t>有组织废气检测结果</w:t>
            </w:r>
            <w:r>
              <w:rPr>
                <w:rFonts w:hint="default" w:ascii="Times New Roman" w:hAnsi="Times New Roman" w:eastAsia="宋体" w:cs="Times New Roman"/>
                <w:sz w:val="18"/>
                <w:szCs w:val="18"/>
              </w:rPr>
              <w:t>202</w:t>
            </w:r>
            <w:r>
              <w:rPr>
                <w:rFonts w:hint="eastAsia" w:cs="Times New Roman"/>
                <w:sz w:val="18"/>
                <w:szCs w:val="18"/>
                <w:lang w:val="en-US" w:eastAsia="zh-CN"/>
              </w:rPr>
              <w:t>5.07.01</w:t>
            </w:r>
          </w:p>
          <w:tbl>
            <w:tblPr>
              <w:tblStyle w:val="14"/>
              <w:tblW w:w="8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699"/>
              <w:gridCol w:w="909"/>
              <w:gridCol w:w="909"/>
              <w:gridCol w:w="355"/>
              <w:gridCol w:w="560"/>
              <w:gridCol w:w="488"/>
              <w:gridCol w:w="432"/>
              <w:gridCol w:w="636"/>
              <w:gridCol w:w="310"/>
              <w:gridCol w:w="821"/>
              <w:gridCol w:w="111"/>
              <w:gridCol w:w="848"/>
            </w:tblGrid>
            <w:tr w14:paraId="2AB9B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exact"/>
                <w:jc w:val="center"/>
              </w:trPr>
              <w:tc>
                <w:tcPr>
                  <w:tcW w:w="1698" w:type="dxa"/>
                  <w:gridSpan w:val="2"/>
                  <w:noWrap w:val="0"/>
                  <w:vAlign w:val="center"/>
                </w:tcPr>
                <w:p w14:paraId="411BFCB0">
                  <w:pPr>
                    <w:pStyle w:val="23"/>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采样点位</w:t>
                  </w:r>
                </w:p>
              </w:tc>
              <w:tc>
                <w:tcPr>
                  <w:tcW w:w="2173" w:type="dxa"/>
                  <w:gridSpan w:val="3"/>
                  <w:noWrap w:val="0"/>
                  <w:vAlign w:val="center"/>
                </w:tcPr>
                <w:p w14:paraId="1B0DEA3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2"/>
                      <w:sz w:val="18"/>
                      <w:szCs w:val="18"/>
                      <w:u w:val="none"/>
                      <w:lang w:val="en-US" w:eastAsia="zh-CN" w:bidi="ar-SA"/>
                    </w:rPr>
                    <w:t>吹膜、制袋、印刷进</w:t>
                  </w:r>
                  <w:r>
                    <w:rPr>
                      <w:rFonts w:hint="eastAsia" w:cs="Times New Roman"/>
                      <w:i w:val="0"/>
                      <w:iCs w:val="0"/>
                      <w:color w:val="000000"/>
                      <w:kern w:val="2"/>
                      <w:sz w:val="18"/>
                      <w:szCs w:val="18"/>
                      <w:u w:val="none"/>
                      <w:lang w:val="en-US" w:eastAsia="zh-CN" w:bidi="ar-SA"/>
                    </w:rPr>
                    <w:t>、出</w:t>
                  </w:r>
                  <w:r>
                    <w:rPr>
                      <w:rFonts w:hint="default" w:ascii="Times New Roman" w:hAnsi="Times New Roman" w:eastAsia="宋体" w:cs="Times New Roman"/>
                      <w:i w:val="0"/>
                      <w:iCs w:val="0"/>
                      <w:color w:val="000000"/>
                      <w:kern w:val="2"/>
                      <w:sz w:val="18"/>
                      <w:szCs w:val="18"/>
                      <w:u w:val="none"/>
                      <w:lang w:val="en-US" w:eastAsia="zh-CN" w:bidi="ar-SA"/>
                    </w:rPr>
                    <w:t>口</w:t>
                  </w:r>
                </w:p>
              </w:tc>
              <w:tc>
                <w:tcPr>
                  <w:tcW w:w="2116" w:type="dxa"/>
                  <w:gridSpan w:val="4"/>
                  <w:noWrap w:val="0"/>
                  <w:vAlign w:val="center"/>
                </w:tcPr>
                <w:p w14:paraId="12D22CE1">
                  <w:pPr>
                    <w:pStyle w:val="23"/>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废气处理设施</w:t>
                  </w:r>
                </w:p>
              </w:tc>
              <w:tc>
                <w:tcPr>
                  <w:tcW w:w="2090" w:type="dxa"/>
                  <w:gridSpan w:val="4"/>
                  <w:noWrap w:val="0"/>
                  <w:vAlign w:val="center"/>
                </w:tcPr>
                <w:p w14:paraId="1B814677">
                  <w:pPr>
                    <w:pStyle w:val="23"/>
                    <w:tabs>
                      <w:tab w:val="center" w:pos="1222"/>
                      <w:tab w:val="right" w:pos="2325"/>
                    </w:tabs>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活性炭</w:t>
                  </w:r>
                </w:p>
              </w:tc>
            </w:tr>
            <w:tr w14:paraId="2462C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698" w:type="dxa"/>
                  <w:gridSpan w:val="2"/>
                  <w:vMerge w:val="restart"/>
                  <w:noWrap w:val="0"/>
                  <w:vAlign w:val="center"/>
                </w:tcPr>
                <w:p w14:paraId="462E7383">
                  <w:pPr>
                    <w:pStyle w:val="23"/>
                    <w:ind w:firstLine="0" w:firstLineChars="0"/>
                    <w:jc w:val="center"/>
                    <w:rPr>
                      <w:rFonts w:hint="default" w:ascii="Times New Roman" w:hAnsi="Times New Roman" w:eastAsia="宋体" w:cs="Times New Roman"/>
                      <w:b/>
                      <w:sz w:val="18"/>
                      <w:szCs w:val="18"/>
                    </w:rPr>
                  </w:pPr>
                  <w:r>
                    <w:rPr>
                      <w:rFonts w:hint="default" w:ascii="Times New Roman" w:hAnsi="Times New Roman" w:eastAsia="宋体" w:cs="Times New Roman"/>
                      <w:sz w:val="18"/>
                      <w:szCs w:val="18"/>
                    </w:rPr>
                    <w:t>排气筒高度(m)</w:t>
                  </w:r>
                </w:p>
              </w:tc>
              <w:tc>
                <w:tcPr>
                  <w:tcW w:w="2173" w:type="dxa"/>
                  <w:gridSpan w:val="3"/>
                  <w:vMerge w:val="restart"/>
                  <w:noWrap w:val="0"/>
                  <w:vAlign w:val="center"/>
                </w:tcPr>
                <w:p w14:paraId="5CCC6474">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15</w:t>
                  </w:r>
                </w:p>
              </w:tc>
              <w:tc>
                <w:tcPr>
                  <w:tcW w:w="2116" w:type="dxa"/>
                  <w:gridSpan w:val="4"/>
                  <w:vMerge w:val="restart"/>
                  <w:noWrap w:val="0"/>
                  <w:vAlign w:val="center"/>
                </w:tcPr>
                <w:p w14:paraId="19A2BE0D">
                  <w:pPr>
                    <w:pStyle w:val="23"/>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采样管道截面积(m</w:t>
                  </w:r>
                  <w:r>
                    <w:rPr>
                      <w:rFonts w:hint="default" w:ascii="Times New Roman" w:hAnsi="Times New Roman" w:eastAsia="宋体" w:cs="Times New Roman"/>
                      <w:sz w:val="18"/>
                      <w:szCs w:val="18"/>
                      <w:highlight w:val="none"/>
                      <w:vertAlign w:val="superscript"/>
                    </w:rPr>
                    <w:t>2</w:t>
                  </w:r>
                  <w:r>
                    <w:rPr>
                      <w:rFonts w:hint="default" w:ascii="Times New Roman" w:hAnsi="Times New Roman" w:eastAsia="宋体" w:cs="Times New Roman"/>
                      <w:sz w:val="18"/>
                      <w:szCs w:val="18"/>
                      <w:highlight w:val="none"/>
                    </w:rPr>
                    <w:t>)</w:t>
                  </w:r>
                </w:p>
              </w:tc>
              <w:tc>
                <w:tcPr>
                  <w:tcW w:w="1131" w:type="dxa"/>
                  <w:gridSpan w:val="2"/>
                  <w:noWrap w:val="0"/>
                  <w:vAlign w:val="center"/>
                </w:tcPr>
                <w:p w14:paraId="67DCFAF0">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进口</w:t>
                  </w:r>
                </w:p>
              </w:tc>
              <w:tc>
                <w:tcPr>
                  <w:tcW w:w="959" w:type="dxa"/>
                  <w:gridSpan w:val="2"/>
                  <w:noWrap w:val="0"/>
                  <w:vAlign w:val="center"/>
                </w:tcPr>
                <w:p w14:paraId="143D4573">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出口</w:t>
                  </w:r>
                </w:p>
              </w:tc>
            </w:tr>
            <w:tr w14:paraId="5675A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698" w:type="dxa"/>
                  <w:gridSpan w:val="2"/>
                  <w:vMerge w:val="continue"/>
                  <w:noWrap w:val="0"/>
                  <w:vAlign w:val="center"/>
                </w:tcPr>
                <w:p w14:paraId="0BE64808">
                  <w:pPr>
                    <w:pStyle w:val="23"/>
                    <w:ind w:firstLine="0" w:firstLineChars="0"/>
                    <w:jc w:val="center"/>
                    <w:rPr>
                      <w:sz w:val="18"/>
                      <w:szCs w:val="18"/>
                    </w:rPr>
                  </w:pPr>
                </w:p>
              </w:tc>
              <w:tc>
                <w:tcPr>
                  <w:tcW w:w="2173" w:type="dxa"/>
                  <w:gridSpan w:val="3"/>
                  <w:vMerge w:val="continue"/>
                  <w:noWrap w:val="0"/>
                  <w:vAlign w:val="center"/>
                </w:tcPr>
                <w:p w14:paraId="77E90C7E">
                  <w:pPr>
                    <w:pStyle w:val="23"/>
                    <w:ind w:firstLine="0" w:firstLineChars="0"/>
                    <w:jc w:val="center"/>
                    <w:rPr>
                      <w:sz w:val="18"/>
                      <w:szCs w:val="18"/>
                    </w:rPr>
                  </w:pPr>
                </w:p>
              </w:tc>
              <w:tc>
                <w:tcPr>
                  <w:tcW w:w="2116" w:type="dxa"/>
                  <w:gridSpan w:val="4"/>
                  <w:vMerge w:val="continue"/>
                  <w:noWrap w:val="0"/>
                  <w:vAlign w:val="center"/>
                </w:tcPr>
                <w:p w14:paraId="2AE552E5">
                  <w:pPr>
                    <w:pStyle w:val="23"/>
                    <w:ind w:firstLine="0" w:firstLineChars="0"/>
                    <w:jc w:val="center"/>
                    <w:rPr>
                      <w:sz w:val="18"/>
                      <w:szCs w:val="18"/>
                    </w:rPr>
                  </w:pPr>
                </w:p>
              </w:tc>
              <w:tc>
                <w:tcPr>
                  <w:tcW w:w="1131" w:type="dxa"/>
                  <w:gridSpan w:val="2"/>
                  <w:noWrap w:val="0"/>
                  <w:vAlign w:val="center"/>
                </w:tcPr>
                <w:p w14:paraId="2EEBD274">
                  <w:pPr>
                    <w:pStyle w:val="23"/>
                    <w:ind w:firstLine="0" w:firstLineChars="0"/>
                    <w:jc w:val="center"/>
                    <w:rPr>
                      <w:rFonts w:hint="default" w:eastAsia="宋体"/>
                      <w:sz w:val="18"/>
                      <w:szCs w:val="18"/>
                      <w:lang w:val="en-US" w:eastAsia="zh-CN"/>
                    </w:rPr>
                  </w:pPr>
                  <w:r>
                    <w:rPr>
                      <w:rFonts w:hint="eastAsia"/>
                      <w:sz w:val="18"/>
                      <w:szCs w:val="18"/>
                      <w:lang w:val="en-US" w:eastAsia="zh-CN"/>
                    </w:rPr>
                    <w:t>0.240</w:t>
                  </w:r>
                </w:p>
              </w:tc>
              <w:tc>
                <w:tcPr>
                  <w:tcW w:w="959" w:type="dxa"/>
                  <w:gridSpan w:val="2"/>
                  <w:noWrap w:val="0"/>
                  <w:vAlign w:val="center"/>
                </w:tcPr>
                <w:p w14:paraId="014EBE76">
                  <w:pPr>
                    <w:pStyle w:val="23"/>
                    <w:ind w:firstLine="0" w:firstLineChars="0"/>
                    <w:jc w:val="center"/>
                    <w:rPr>
                      <w:rFonts w:hint="default" w:eastAsia="宋体"/>
                      <w:sz w:val="18"/>
                      <w:szCs w:val="18"/>
                      <w:lang w:val="en-US" w:eastAsia="zh-CN"/>
                    </w:rPr>
                  </w:pPr>
                  <w:r>
                    <w:rPr>
                      <w:rFonts w:hint="eastAsia"/>
                      <w:sz w:val="18"/>
                      <w:szCs w:val="18"/>
                      <w:lang w:val="en-US" w:eastAsia="zh-CN"/>
                    </w:rPr>
                    <w:t>0.283</w:t>
                  </w:r>
                </w:p>
              </w:tc>
            </w:tr>
            <w:tr w14:paraId="31AB9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blHeader/>
                <w:jc w:val="center"/>
              </w:trPr>
              <w:tc>
                <w:tcPr>
                  <w:tcW w:w="999" w:type="dxa"/>
                  <w:vMerge w:val="restart"/>
                  <w:noWrap w:val="0"/>
                  <w:vAlign w:val="center"/>
                </w:tcPr>
                <w:p w14:paraId="49B83B71">
                  <w:pPr>
                    <w:pStyle w:val="23"/>
                    <w:ind w:firstLine="0" w:firstLineChars="0"/>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检测项目</w:t>
                  </w:r>
                </w:p>
              </w:tc>
              <w:tc>
                <w:tcPr>
                  <w:tcW w:w="699" w:type="dxa"/>
                  <w:vMerge w:val="restart"/>
                  <w:noWrap w:val="0"/>
                  <w:vAlign w:val="center"/>
                </w:tcPr>
                <w:p w14:paraId="649CF40F">
                  <w:pPr>
                    <w:pStyle w:val="23"/>
                    <w:ind w:firstLine="0" w:firstLineChars="0"/>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单位</w:t>
                  </w:r>
                </w:p>
              </w:tc>
              <w:tc>
                <w:tcPr>
                  <w:tcW w:w="6379" w:type="dxa"/>
                  <w:gridSpan w:val="11"/>
                  <w:noWrap w:val="0"/>
                  <w:vAlign w:val="center"/>
                </w:tcPr>
                <w:p w14:paraId="168CF6E9">
                  <w:pPr>
                    <w:pStyle w:val="23"/>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202</w:t>
                  </w:r>
                  <w:r>
                    <w:rPr>
                      <w:rFonts w:hint="eastAsia" w:cs="Times New Roman"/>
                      <w:sz w:val="18"/>
                      <w:szCs w:val="18"/>
                      <w:lang w:val="en-US" w:eastAsia="zh-CN"/>
                    </w:rPr>
                    <w:t>5.07.01</w:t>
                  </w:r>
                  <w:r>
                    <w:rPr>
                      <w:rFonts w:hint="default" w:ascii="Times New Roman" w:hAnsi="Times New Roman" w:eastAsia="宋体" w:cs="Times New Roman"/>
                      <w:sz w:val="18"/>
                      <w:szCs w:val="18"/>
                    </w:rPr>
                    <w:t>测定值</w:t>
                  </w:r>
                </w:p>
              </w:tc>
            </w:tr>
            <w:tr w14:paraId="3FF6E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blHeader/>
                <w:jc w:val="center"/>
              </w:trPr>
              <w:tc>
                <w:tcPr>
                  <w:tcW w:w="999" w:type="dxa"/>
                  <w:vMerge w:val="continue"/>
                  <w:noWrap w:val="0"/>
                  <w:vAlign w:val="center"/>
                </w:tcPr>
                <w:p w14:paraId="5E16D424">
                  <w:pPr>
                    <w:pStyle w:val="23"/>
                    <w:ind w:firstLine="0" w:firstLineChars="0"/>
                    <w:jc w:val="center"/>
                    <w:rPr>
                      <w:sz w:val="18"/>
                      <w:szCs w:val="18"/>
                    </w:rPr>
                  </w:pPr>
                </w:p>
              </w:tc>
              <w:tc>
                <w:tcPr>
                  <w:tcW w:w="699" w:type="dxa"/>
                  <w:vMerge w:val="continue"/>
                  <w:noWrap w:val="0"/>
                  <w:vAlign w:val="center"/>
                </w:tcPr>
                <w:p w14:paraId="353E6DAC">
                  <w:pPr>
                    <w:pStyle w:val="23"/>
                    <w:ind w:firstLine="0" w:firstLineChars="0"/>
                    <w:jc w:val="center"/>
                    <w:rPr>
                      <w:sz w:val="18"/>
                      <w:szCs w:val="18"/>
                    </w:rPr>
                  </w:pPr>
                </w:p>
              </w:tc>
              <w:tc>
                <w:tcPr>
                  <w:tcW w:w="3221" w:type="dxa"/>
                  <w:gridSpan w:val="5"/>
                  <w:noWrap w:val="0"/>
                  <w:vAlign w:val="center"/>
                </w:tcPr>
                <w:p w14:paraId="3B1302BE">
                  <w:pPr>
                    <w:pStyle w:val="23"/>
                    <w:ind w:firstLine="0" w:firstLineChars="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进口</w:t>
                  </w:r>
                </w:p>
              </w:tc>
              <w:tc>
                <w:tcPr>
                  <w:tcW w:w="3158" w:type="dxa"/>
                  <w:gridSpan w:val="6"/>
                  <w:noWrap w:val="0"/>
                  <w:vAlign w:val="center"/>
                </w:tcPr>
                <w:p w14:paraId="648F29D9">
                  <w:pPr>
                    <w:pStyle w:val="23"/>
                    <w:ind w:firstLine="0" w:firstLineChars="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出口</w:t>
                  </w:r>
                </w:p>
              </w:tc>
            </w:tr>
            <w:tr w14:paraId="2195E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exact"/>
                <w:jc w:val="center"/>
              </w:trPr>
              <w:tc>
                <w:tcPr>
                  <w:tcW w:w="999" w:type="dxa"/>
                  <w:vMerge w:val="continue"/>
                  <w:noWrap w:val="0"/>
                  <w:vAlign w:val="center"/>
                </w:tcPr>
                <w:p w14:paraId="23FEC823">
                  <w:pPr>
                    <w:pStyle w:val="23"/>
                    <w:ind w:firstLine="0" w:firstLineChars="0"/>
                    <w:jc w:val="center"/>
                    <w:rPr>
                      <w:rFonts w:hint="default" w:ascii="Times New Roman" w:hAnsi="Times New Roman" w:eastAsia="宋体" w:cs="Times New Roman"/>
                      <w:b/>
                      <w:sz w:val="18"/>
                      <w:szCs w:val="18"/>
                    </w:rPr>
                  </w:pPr>
                </w:p>
              </w:tc>
              <w:tc>
                <w:tcPr>
                  <w:tcW w:w="699" w:type="dxa"/>
                  <w:vMerge w:val="continue"/>
                  <w:noWrap w:val="0"/>
                  <w:vAlign w:val="center"/>
                </w:tcPr>
                <w:p w14:paraId="639ACA23">
                  <w:pPr>
                    <w:pStyle w:val="23"/>
                    <w:ind w:firstLine="0" w:firstLineChars="0"/>
                    <w:jc w:val="center"/>
                    <w:rPr>
                      <w:rFonts w:hint="default" w:ascii="Times New Roman" w:hAnsi="Times New Roman" w:eastAsia="宋体" w:cs="Times New Roman"/>
                      <w:b/>
                      <w:sz w:val="18"/>
                      <w:szCs w:val="18"/>
                    </w:rPr>
                  </w:pPr>
                </w:p>
              </w:tc>
              <w:tc>
                <w:tcPr>
                  <w:tcW w:w="909" w:type="dxa"/>
                  <w:noWrap w:val="0"/>
                  <w:vAlign w:val="center"/>
                </w:tcPr>
                <w:p w14:paraId="79B090D5">
                  <w:pPr>
                    <w:pStyle w:val="23"/>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第一次</w:t>
                  </w:r>
                </w:p>
              </w:tc>
              <w:tc>
                <w:tcPr>
                  <w:tcW w:w="909" w:type="dxa"/>
                  <w:noWrap w:val="0"/>
                  <w:vAlign w:val="center"/>
                </w:tcPr>
                <w:p w14:paraId="16111321">
                  <w:pPr>
                    <w:pStyle w:val="23"/>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第二次</w:t>
                  </w:r>
                </w:p>
              </w:tc>
              <w:tc>
                <w:tcPr>
                  <w:tcW w:w="915" w:type="dxa"/>
                  <w:gridSpan w:val="2"/>
                  <w:noWrap w:val="0"/>
                  <w:vAlign w:val="center"/>
                </w:tcPr>
                <w:p w14:paraId="5690D57D">
                  <w:pPr>
                    <w:pStyle w:val="23"/>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第三次</w:t>
                  </w:r>
                </w:p>
              </w:tc>
              <w:tc>
                <w:tcPr>
                  <w:tcW w:w="920" w:type="dxa"/>
                  <w:gridSpan w:val="2"/>
                  <w:noWrap w:val="0"/>
                  <w:vAlign w:val="center"/>
                </w:tcPr>
                <w:p w14:paraId="78B33B82">
                  <w:pPr>
                    <w:pStyle w:val="23"/>
                    <w:ind w:firstLine="0" w:firstLine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第一次</w:t>
                  </w:r>
                </w:p>
              </w:tc>
              <w:tc>
                <w:tcPr>
                  <w:tcW w:w="946" w:type="dxa"/>
                  <w:gridSpan w:val="2"/>
                  <w:noWrap w:val="0"/>
                  <w:vAlign w:val="center"/>
                </w:tcPr>
                <w:p w14:paraId="4B1ACF06">
                  <w:pPr>
                    <w:pStyle w:val="23"/>
                    <w:ind w:firstLine="0" w:firstLine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第二次</w:t>
                  </w:r>
                </w:p>
              </w:tc>
              <w:tc>
                <w:tcPr>
                  <w:tcW w:w="932" w:type="dxa"/>
                  <w:gridSpan w:val="2"/>
                  <w:noWrap w:val="0"/>
                  <w:vAlign w:val="center"/>
                </w:tcPr>
                <w:p w14:paraId="1F3B5321">
                  <w:pPr>
                    <w:pStyle w:val="23"/>
                    <w:ind w:firstLine="0" w:firstLine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第三次</w:t>
                  </w:r>
                </w:p>
              </w:tc>
              <w:tc>
                <w:tcPr>
                  <w:tcW w:w="848" w:type="dxa"/>
                  <w:noWrap w:val="0"/>
                  <w:vAlign w:val="center"/>
                </w:tcPr>
                <w:p w14:paraId="12941EFE">
                  <w:pPr>
                    <w:pStyle w:val="23"/>
                    <w:ind w:firstLine="0" w:firstLineChars="0"/>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限值</w:t>
                  </w:r>
                </w:p>
              </w:tc>
            </w:tr>
            <w:tr w14:paraId="64E56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exact"/>
                <w:jc w:val="center"/>
              </w:trPr>
              <w:tc>
                <w:tcPr>
                  <w:tcW w:w="999" w:type="dxa"/>
                  <w:noWrap w:val="0"/>
                  <w:vAlign w:val="center"/>
                </w:tcPr>
                <w:p w14:paraId="6834DB52">
                  <w:pPr>
                    <w:pStyle w:val="23"/>
                    <w:ind w:left="-120" w:leftChars="-50" w:right="-120" w:rightChars="-50"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排气温度</w:t>
                  </w:r>
                </w:p>
              </w:tc>
              <w:tc>
                <w:tcPr>
                  <w:tcW w:w="699" w:type="dxa"/>
                  <w:noWrap w:val="0"/>
                  <w:vAlign w:val="center"/>
                </w:tcPr>
                <w:p w14:paraId="46975A04">
                  <w:pPr>
                    <w:pStyle w:val="23"/>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909" w:type="dxa"/>
                  <w:noWrap w:val="0"/>
                  <w:vAlign w:val="center"/>
                </w:tcPr>
                <w:p w14:paraId="4FEDE11F">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34.5</w:t>
                  </w:r>
                </w:p>
              </w:tc>
              <w:tc>
                <w:tcPr>
                  <w:tcW w:w="909" w:type="dxa"/>
                  <w:noWrap w:val="0"/>
                  <w:vAlign w:val="center"/>
                </w:tcPr>
                <w:p w14:paraId="4F465B83">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34.8</w:t>
                  </w:r>
                </w:p>
              </w:tc>
              <w:tc>
                <w:tcPr>
                  <w:tcW w:w="915" w:type="dxa"/>
                  <w:gridSpan w:val="2"/>
                  <w:noWrap w:val="0"/>
                  <w:vAlign w:val="center"/>
                </w:tcPr>
                <w:p w14:paraId="22712575">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35.3</w:t>
                  </w:r>
                </w:p>
              </w:tc>
              <w:tc>
                <w:tcPr>
                  <w:tcW w:w="920" w:type="dxa"/>
                  <w:gridSpan w:val="2"/>
                  <w:noWrap w:val="0"/>
                  <w:vAlign w:val="center"/>
                </w:tcPr>
                <w:p w14:paraId="374E0203">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37.8</w:t>
                  </w:r>
                </w:p>
              </w:tc>
              <w:tc>
                <w:tcPr>
                  <w:tcW w:w="946" w:type="dxa"/>
                  <w:gridSpan w:val="2"/>
                  <w:noWrap w:val="0"/>
                  <w:vAlign w:val="center"/>
                </w:tcPr>
                <w:p w14:paraId="159A1FE2">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41.1</w:t>
                  </w:r>
                </w:p>
              </w:tc>
              <w:tc>
                <w:tcPr>
                  <w:tcW w:w="932" w:type="dxa"/>
                  <w:gridSpan w:val="2"/>
                  <w:noWrap w:val="0"/>
                  <w:vAlign w:val="center"/>
                </w:tcPr>
                <w:p w14:paraId="2E4E3E9A">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41.0</w:t>
                  </w:r>
                </w:p>
              </w:tc>
              <w:tc>
                <w:tcPr>
                  <w:tcW w:w="848" w:type="dxa"/>
                  <w:shd w:val="clear" w:color="auto" w:fill="auto"/>
                  <w:noWrap w:val="0"/>
                  <w:vAlign w:val="center"/>
                </w:tcPr>
                <w:p w14:paraId="2C5DCD20">
                  <w:pPr>
                    <w:pStyle w:val="23"/>
                    <w:ind w:firstLine="0" w:firstLineChars="0"/>
                    <w:jc w:val="center"/>
                    <w:rPr>
                      <w:rFonts w:hint="default" w:ascii="Times New Roman" w:hAnsi="Times New Roman" w:eastAsia="宋体" w:cs="Times New Roman"/>
                      <w:kern w:val="2"/>
                      <w:sz w:val="18"/>
                      <w:szCs w:val="18"/>
                      <w:highlight w:val="none"/>
                      <w:lang w:val="en-US" w:eastAsia="zh-CN" w:bidi="ar-SA"/>
                    </w:rPr>
                  </w:pPr>
                  <w:r>
                    <w:rPr>
                      <w:rFonts w:hint="eastAsia" w:cs="Times New Roman"/>
                      <w:sz w:val="18"/>
                      <w:szCs w:val="18"/>
                      <w:highlight w:val="none"/>
                      <w:lang w:val="en-US" w:eastAsia="zh-CN"/>
                    </w:rPr>
                    <w:t>/</w:t>
                  </w:r>
                </w:p>
              </w:tc>
            </w:tr>
            <w:tr w14:paraId="3166F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exact"/>
                <w:jc w:val="center"/>
              </w:trPr>
              <w:tc>
                <w:tcPr>
                  <w:tcW w:w="999" w:type="dxa"/>
                  <w:noWrap w:val="0"/>
                  <w:vAlign w:val="center"/>
                </w:tcPr>
                <w:p w14:paraId="3D8CDB05">
                  <w:pPr>
                    <w:pStyle w:val="23"/>
                    <w:ind w:left="-120" w:leftChars="-50" w:right="-120" w:rightChars="-50"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水分含量</w:t>
                  </w:r>
                </w:p>
              </w:tc>
              <w:tc>
                <w:tcPr>
                  <w:tcW w:w="699" w:type="dxa"/>
                  <w:noWrap w:val="0"/>
                  <w:vAlign w:val="center"/>
                </w:tcPr>
                <w:p w14:paraId="4CCC7F0F">
                  <w:pPr>
                    <w:pStyle w:val="23"/>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909" w:type="dxa"/>
                  <w:noWrap w:val="0"/>
                  <w:vAlign w:val="center"/>
                </w:tcPr>
                <w:p w14:paraId="5582AD06">
                  <w:pPr>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2.3</w:t>
                  </w:r>
                </w:p>
              </w:tc>
              <w:tc>
                <w:tcPr>
                  <w:tcW w:w="909" w:type="dxa"/>
                  <w:noWrap w:val="0"/>
                  <w:vAlign w:val="center"/>
                </w:tcPr>
                <w:p w14:paraId="2B3C1000">
                  <w:pPr>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2.3</w:t>
                  </w:r>
                </w:p>
              </w:tc>
              <w:tc>
                <w:tcPr>
                  <w:tcW w:w="915" w:type="dxa"/>
                  <w:gridSpan w:val="2"/>
                  <w:noWrap w:val="0"/>
                  <w:vAlign w:val="center"/>
                </w:tcPr>
                <w:p w14:paraId="61912E07">
                  <w:pPr>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2.3</w:t>
                  </w:r>
                </w:p>
              </w:tc>
              <w:tc>
                <w:tcPr>
                  <w:tcW w:w="920" w:type="dxa"/>
                  <w:gridSpan w:val="2"/>
                  <w:noWrap w:val="0"/>
                  <w:vAlign w:val="center"/>
                </w:tcPr>
                <w:p w14:paraId="08BF81EB">
                  <w:pPr>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15.4</w:t>
                  </w:r>
                </w:p>
              </w:tc>
              <w:tc>
                <w:tcPr>
                  <w:tcW w:w="946" w:type="dxa"/>
                  <w:gridSpan w:val="2"/>
                  <w:noWrap w:val="0"/>
                  <w:vAlign w:val="center"/>
                </w:tcPr>
                <w:p w14:paraId="24F6BDEB">
                  <w:pPr>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15.4</w:t>
                  </w:r>
                </w:p>
              </w:tc>
              <w:tc>
                <w:tcPr>
                  <w:tcW w:w="932" w:type="dxa"/>
                  <w:gridSpan w:val="2"/>
                  <w:noWrap w:val="0"/>
                  <w:vAlign w:val="center"/>
                </w:tcPr>
                <w:p w14:paraId="77D3A684">
                  <w:pPr>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15.4</w:t>
                  </w:r>
                </w:p>
              </w:tc>
              <w:tc>
                <w:tcPr>
                  <w:tcW w:w="848" w:type="dxa"/>
                  <w:shd w:val="clear" w:color="auto" w:fill="auto"/>
                  <w:noWrap w:val="0"/>
                  <w:vAlign w:val="center"/>
                </w:tcPr>
                <w:p w14:paraId="736481C5">
                  <w:pPr>
                    <w:ind w:firstLine="0" w:firstLineChars="0"/>
                    <w:jc w:val="center"/>
                    <w:rPr>
                      <w:rFonts w:hint="default" w:ascii="Times New Roman" w:hAnsi="Times New Roman" w:eastAsia="宋体" w:cs="Times New Roman"/>
                      <w:kern w:val="2"/>
                      <w:sz w:val="18"/>
                      <w:szCs w:val="18"/>
                      <w:highlight w:val="none"/>
                      <w:lang w:val="en-US" w:eastAsia="zh-CN" w:bidi="ar-SA"/>
                    </w:rPr>
                  </w:pPr>
                  <w:r>
                    <w:rPr>
                      <w:rFonts w:hint="eastAsia" w:cs="Times New Roman"/>
                      <w:sz w:val="18"/>
                      <w:szCs w:val="18"/>
                      <w:highlight w:val="none"/>
                      <w:lang w:val="en-US" w:eastAsia="zh-CN"/>
                    </w:rPr>
                    <w:t>/</w:t>
                  </w:r>
                </w:p>
              </w:tc>
            </w:tr>
            <w:tr w14:paraId="3557F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jc w:val="center"/>
              </w:trPr>
              <w:tc>
                <w:tcPr>
                  <w:tcW w:w="999" w:type="dxa"/>
                  <w:noWrap w:val="0"/>
                  <w:vAlign w:val="center"/>
                </w:tcPr>
                <w:p w14:paraId="02B7D493">
                  <w:pPr>
                    <w:pStyle w:val="23"/>
                    <w:ind w:left="-120" w:leftChars="-50" w:right="-120" w:rightChars="-50"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排气流速</w:t>
                  </w:r>
                </w:p>
              </w:tc>
              <w:tc>
                <w:tcPr>
                  <w:tcW w:w="699" w:type="dxa"/>
                  <w:noWrap w:val="0"/>
                  <w:vAlign w:val="center"/>
                </w:tcPr>
                <w:p w14:paraId="4F61667B">
                  <w:pPr>
                    <w:pStyle w:val="23"/>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m/s</w:t>
                  </w:r>
                </w:p>
              </w:tc>
              <w:tc>
                <w:tcPr>
                  <w:tcW w:w="909" w:type="dxa"/>
                  <w:noWrap w:val="0"/>
                  <w:vAlign w:val="center"/>
                </w:tcPr>
                <w:p w14:paraId="51A07569">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21.0</w:t>
                  </w:r>
                </w:p>
              </w:tc>
              <w:tc>
                <w:tcPr>
                  <w:tcW w:w="909" w:type="dxa"/>
                  <w:noWrap w:val="0"/>
                  <w:vAlign w:val="center"/>
                </w:tcPr>
                <w:p w14:paraId="0CCA604D">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21.0</w:t>
                  </w:r>
                </w:p>
              </w:tc>
              <w:tc>
                <w:tcPr>
                  <w:tcW w:w="915" w:type="dxa"/>
                  <w:gridSpan w:val="2"/>
                  <w:noWrap w:val="0"/>
                  <w:vAlign w:val="center"/>
                </w:tcPr>
                <w:p w14:paraId="6FF8A3DA">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21.0</w:t>
                  </w:r>
                </w:p>
              </w:tc>
              <w:tc>
                <w:tcPr>
                  <w:tcW w:w="920" w:type="dxa"/>
                  <w:gridSpan w:val="2"/>
                  <w:noWrap w:val="0"/>
                  <w:vAlign w:val="center"/>
                </w:tcPr>
                <w:p w14:paraId="6E5F2303">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17.4</w:t>
                  </w:r>
                </w:p>
              </w:tc>
              <w:tc>
                <w:tcPr>
                  <w:tcW w:w="946" w:type="dxa"/>
                  <w:gridSpan w:val="2"/>
                  <w:noWrap w:val="0"/>
                  <w:vAlign w:val="center"/>
                </w:tcPr>
                <w:p w14:paraId="6D556204">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17.6</w:t>
                  </w:r>
                </w:p>
              </w:tc>
              <w:tc>
                <w:tcPr>
                  <w:tcW w:w="932" w:type="dxa"/>
                  <w:gridSpan w:val="2"/>
                  <w:noWrap w:val="0"/>
                  <w:vAlign w:val="center"/>
                </w:tcPr>
                <w:p w14:paraId="6946D6B1">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18.5</w:t>
                  </w:r>
                </w:p>
              </w:tc>
              <w:tc>
                <w:tcPr>
                  <w:tcW w:w="848" w:type="dxa"/>
                  <w:shd w:val="clear" w:color="auto" w:fill="auto"/>
                  <w:noWrap w:val="0"/>
                  <w:vAlign w:val="center"/>
                </w:tcPr>
                <w:p w14:paraId="5F2E75E5">
                  <w:pPr>
                    <w:pStyle w:val="23"/>
                    <w:ind w:firstLine="0" w:firstLineChars="0"/>
                    <w:jc w:val="center"/>
                    <w:rPr>
                      <w:rFonts w:hint="default" w:ascii="Times New Roman" w:hAnsi="Times New Roman" w:eastAsia="宋体" w:cs="Times New Roman"/>
                      <w:kern w:val="2"/>
                      <w:sz w:val="18"/>
                      <w:szCs w:val="18"/>
                      <w:highlight w:val="none"/>
                      <w:lang w:val="en-US" w:eastAsia="zh-CN" w:bidi="ar-SA"/>
                    </w:rPr>
                  </w:pPr>
                  <w:r>
                    <w:rPr>
                      <w:rFonts w:hint="eastAsia" w:cs="Times New Roman"/>
                      <w:sz w:val="18"/>
                      <w:szCs w:val="18"/>
                      <w:highlight w:val="none"/>
                      <w:lang w:val="en-US" w:eastAsia="zh-CN"/>
                    </w:rPr>
                    <w:t>/</w:t>
                  </w:r>
                </w:p>
              </w:tc>
            </w:tr>
            <w:tr w14:paraId="07C42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exact"/>
                <w:jc w:val="center"/>
              </w:trPr>
              <w:tc>
                <w:tcPr>
                  <w:tcW w:w="999" w:type="dxa"/>
                  <w:noWrap w:val="0"/>
                  <w:vAlign w:val="center"/>
                </w:tcPr>
                <w:p w14:paraId="78B18F3E">
                  <w:pPr>
                    <w:pStyle w:val="23"/>
                    <w:ind w:left="-120" w:leftChars="-50" w:right="-120" w:rightChars="-5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标干流量</w:t>
                  </w:r>
                </w:p>
              </w:tc>
              <w:tc>
                <w:tcPr>
                  <w:tcW w:w="699" w:type="dxa"/>
                  <w:noWrap w:val="0"/>
                  <w:vAlign w:val="center"/>
                </w:tcPr>
                <w:p w14:paraId="2131B1D7">
                  <w:pPr>
                    <w:pStyle w:val="23"/>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w:t>
                  </w:r>
                  <w:r>
                    <w:rPr>
                      <w:rFonts w:hint="default" w:ascii="Times New Roman" w:hAnsi="Times New Roman" w:eastAsia="宋体" w:cs="Times New Roman"/>
                      <w:sz w:val="18"/>
                      <w:szCs w:val="18"/>
                      <w:vertAlign w:val="superscript"/>
                    </w:rPr>
                    <w:t>3</w:t>
                  </w:r>
                  <w:r>
                    <w:rPr>
                      <w:rFonts w:hint="default" w:ascii="Times New Roman" w:hAnsi="Times New Roman" w:eastAsia="宋体" w:cs="Times New Roman"/>
                      <w:sz w:val="18"/>
                      <w:szCs w:val="18"/>
                    </w:rPr>
                    <w:t>/h</w:t>
                  </w:r>
                </w:p>
              </w:tc>
              <w:tc>
                <w:tcPr>
                  <w:tcW w:w="909" w:type="dxa"/>
                  <w:noWrap w:val="0"/>
                  <w:vAlign w:val="center"/>
                </w:tcPr>
                <w:p w14:paraId="01CB5464">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1.56</w:t>
                  </w:r>
                  <w:r>
                    <w:rPr>
                      <w:rFonts w:hint="default" w:ascii="Arial" w:hAnsi="Arial" w:cs="Arial"/>
                      <w:sz w:val="18"/>
                      <w:szCs w:val="18"/>
                      <w:highlight w:val="none"/>
                      <w:lang w:val="en-US" w:eastAsia="zh-CN"/>
                    </w:rPr>
                    <w:t>×</w:t>
                  </w:r>
                  <w:r>
                    <w:rPr>
                      <w:rFonts w:hint="eastAsia" w:cs="Times New Roman"/>
                      <w:sz w:val="18"/>
                      <w:szCs w:val="18"/>
                      <w:highlight w:val="none"/>
                      <w:lang w:val="en-US" w:eastAsia="zh-CN"/>
                    </w:rPr>
                    <w:t>10</w:t>
                  </w:r>
                  <w:r>
                    <w:rPr>
                      <w:rFonts w:hint="eastAsia" w:cs="Times New Roman"/>
                      <w:sz w:val="18"/>
                      <w:szCs w:val="18"/>
                      <w:highlight w:val="none"/>
                      <w:vertAlign w:val="superscript"/>
                      <w:lang w:val="en-US" w:eastAsia="zh-CN"/>
                    </w:rPr>
                    <w:t>4</w:t>
                  </w:r>
                </w:p>
              </w:tc>
              <w:tc>
                <w:tcPr>
                  <w:tcW w:w="909" w:type="dxa"/>
                  <w:noWrap w:val="0"/>
                  <w:vAlign w:val="center"/>
                </w:tcPr>
                <w:p w14:paraId="7FACAAE2">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1.56</w:t>
                  </w:r>
                  <w:r>
                    <w:rPr>
                      <w:rFonts w:hint="default" w:ascii="Arial" w:hAnsi="Arial" w:cs="Arial"/>
                      <w:sz w:val="18"/>
                      <w:szCs w:val="18"/>
                      <w:highlight w:val="none"/>
                      <w:lang w:val="en-US" w:eastAsia="zh-CN"/>
                    </w:rPr>
                    <w:t>×</w:t>
                  </w:r>
                  <w:r>
                    <w:rPr>
                      <w:rFonts w:hint="eastAsia" w:cs="Times New Roman"/>
                      <w:sz w:val="18"/>
                      <w:szCs w:val="18"/>
                      <w:highlight w:val="none"/>
                      <w:lang w:val="en-US" w:eastAsia="zh-CN"/>
                    </w:rPr>
                    <w:t>10</w:t>
                  </w:r>
                  <w:r>
                    <w:rPr>
                      <w:rFonts w:hint="eastAsia" w:cs="Times New Roman"/>
                      <w:sz w:val="18"/>
                      <w:szCs w:val="18"/>
                      <w:highlight w:val="none"/>
                      <w:vertAlign w:val="superscript"/>
                      <w:lang w:val="en-US" w:eastAsia="zh-CN"/>
                    </w:rPr>
                    <w:t>4</w:t>
                  </w:r>
                </w:p>
              </w:tc>
              <w:tc>
                <w:tcPr>
                  <w:tcW w:w="915" w:type="dxa"/>
                  <w:gridSpan w:val="2"/>
                  <w:noWrap w:val="0"/>
                  <w:vAlign w:val="center"/>
                </w:tcPr>
                <w:p w14:paraId="63E10723">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1.55</w:t>
                  </w:r>
                  <w:r>
                    <w:rPr>
                      <w:rFonts w:hint="default" w:ascii="Arial" w:hAnsi="Arial" w:cs="Arial"/>
                      <w:sz w:val="18"/>
                      <w:szCs w:val="18"/>
                      <w:highlight w:val="none"/>
                      <w:lang w:val="en-US" w:eastAsia="zh-CN"/>
                    </w:rPr>
                    <w:t>×</w:t>
                  </w:r>
                  <w:r>
                    <w:rPr>
                      <w:rFonts w:hint="eastAsia" w:cs="Times New Roman"/>
                      <w:sz w:val="18"/>
                      <w:szCs w:val="18"/>
                      <w:highlight w:val="none"/>
                      <w:lang w:val="en-US" w:eastAsia="zh-CN"/>
                    </w:rPr>
                    <w:t>10</w:t>
                  </w:r>
                  <w:r>
                    <w:rPr>
                      <w:rFonts w:hint="eastAsia" w:cs="Times New Roman"/>
                      <w:sz w:val="18"/>
                      <w:szCs w:val="18"/>
                      <w:highlight w:val="none"/>
                      <w:vertAlign w:val="superscript"/>
                      <w:lang w:val="en-US" w:eastAsia="zh-CN"/>
                    </w:rPr>
                    <w:t>4</w:t>
                  </w:r>
                </w:p>
              </w:tc>
              <w:tc>
                <w:tcPr>
                  <w:tcW w:w="920" w:type="dxa"/>
                  <w:gridSpan w:val="2"/>
                  <w:noWrap w:val="0"/>
                  <w:vAlign w:val="center"/>
                </w:tcPr>
                <w:p w14:paraId="12F006FC">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1.31</w:t>
                  </w:r>
                  <w:r>
                    <w:rPr>
                      <w:rFonts w:hint="default" w:ascii="Arial" w:hAnsi="Arial" w:cs="Arial"/>
                      <w:sz w:val="18"/>
                      <w:szCs w:val="18"/>
                      <w:highlight w:val="none"/>
                      <w:lang w:val="en-US" w:eastAsia="zh-CN"/>
                    </w:rPr>
                    <w:t>×</w:t>
                  </w:r>
                  <w:r>
                    <w:rPr>
                      <w:rFonts w:hint="eastAsia" w:cs="Times New Roman"/>
                      <w:sz w:val="18"/>
                      <w:szCs w:val="18"/>
                      <w:highlight w:val="none"/>
                      <w:lang w:val="en-US" w:eastAsia="zh-CN"/>
                    </w:rPr>
                    <w:t>10</w:t>
                  </w:r>
                  <w:r>
                    <w:rPr>
                      <w:rFonts w:hint="eastAsia" w:cs="Times New Roman"/>
                      <w:sz w:val="18"/>
                      <w:szCs w:val="18"/>
                      <w:highlight w:val="none"/>
                      <w:vertAlign w:val="superscript"/>
                      <w:lang w:val="en-US" w:eastAsia="zh-CN"/>
                    </w:rPr>
                    <w:t>4</w:t>
                  </w:r>
                </w:p>
              </w:tc>
              <w:tc>
                <w:tcPr>
                  <w:tcW w:w="946" w:type="dxa"/>
                  <w:gridSpan w:val="2"/>
                  <w:noWrap w:val="0"/>
                  <w:vAlign w:val="center"/>
                </w:tcPr>
                <w:p w14:paraId="34C154AE">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1.31</w:t>
                  </w:r>
                  <w:r>
                    <w:rPr>
                      <w:rFonts w:hint="default" w:ascii="Arial" w:hAnsi="Arial" w:cs="Arial"/>
                      <w:sz w:val="18"/>
                      <w:szCs w:val="18"/>
                      <w:highlight w:val="none"/>
                      <w:lang w:val="en-US" w:eastAsia="zh-CN"/>
                    </w:rPr>
                    <w:t>×</w:t>
                  </w:r>
                  <w:r>
                    <w:rPr>
                      <w:rFonts w:hint="eastAsia" w:cs="Times New Roman"/>
                      <w:sz w:val="18"/>
                      <w:szCs w:val="18"/>
                      <w:highlight w:val="none"/>
                      <w:lang w:val="en-US" w:eastAsia="zh-CN"/>
                    </w:rPr>
                    <w:t>10</w:t>
                  </w:r>
                  <w:r>
                    <w:rPr>
                      <w:rFonts w:hint="eastAsia" w:cs="Times New Roman"/>
                      <w:sz w:val="18"/>
                      <w:szCs w:val="18"/>
                      <w:highlight w:val="none"/>
                      <w:vertAlign w:val="superscript"/>
                      <w:lang w:val="en-US" w:eastAsia="zh-CN"/>
                    </w:rPr>
                    <w:t>4</w:t>
                  </w:r>
                </w:p>
              </w:tc>
              <w:tc>
                <w:tcPr>
                  <w:tcW w:w="932" w:type="dxa"/>
                  <w:gridSpan w:val="2"/>
                  <w:noWrap w:val="0"/>
                  <w:vAlign w:val="center"/>
                </w:tcPr>
                <w:p w14:paraId="6940D1CA">
                  <w:pPr>
                    <w:pStyle w:val="23"/>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1.38</w:t>
                  </w:r>
                  <w:r>
                    <w:rPr>
                      <w:rFonts w:hint="default" w:ascii="Arial" w:hAnsi="Arial" w:cs="Arial"/>
                      <w:sz w:val="18"/>
                      <w:szCs w:val="18"/>
                      <w:highlight w:val="none"/>
                      <w:lang w:val="en-US" w:eastAsia="zh-CN"/>
                    </w:rPr>
                    <w:t>×</w:t>
                  </w:r>
                  <w:r>
                    <w:rPr>
                      <w:rFonts w:hint="eastAsia" w:cs="Times New Roman"/>
                      <w:sz w:val="18"/>
                      <w:szCs w:val="18"/>
                      <w:highlight w:val="none"/>
                      <w:lang w:val="en-US" w:eastAsia="zh-CN"/>
                    </w:rPr>
                    <w:t>10</w:t>
                  </w:r>
                  <w:r>
                    <w:rPr>
                      <w:rFonts w:hint="eastAsia" w:cs="Times New Roman"/>
                      <w:sz w:val="18"/>
                      <w:szCs w:val="18"/>
                      <w:highlight w:val="none"/>
                      <w:vertAlign w:val="superscript"/>
                      <w:lang w:val="en-US" w:eastAsia="zh-CN"/>
                    </w:rPr>
                    <w:t>4</w:t>
                  </w:r>
                </w:p>
              </w:tc>
              <w:tc>
                <w:tcPr>
                  <w:tcW w:w="848" w:type="dxa"/>
                  <w:shd w:val="clear" w:color="auto" w:fill="auto"/>
                  <w:noWrap w:val="0"/>
                  <w:vAlign w:val="center"/>
                </w:tcPr>
                <w:p w14:paraId="40E196F6">
                  <w:pPr>
                    <w:pStyle w:val="23"/>
                    <w:ind w:firstLine="0" w:firstLineChars="0"/>
                    <w:jc w:val="center"/>
                    <w:rPr>
                      <w:rFonts w:hint="default" w:ascii="Times New Roman" w:hAnsi="Times New Roman" w:eastAsia="宋体" w:cs="Times New Roman"/>
                      <w:kern w:val="2"/>
                      <w:sz w:val="18"/>
                      <w:szCs w:val="18"/>
                      <w:highlight w:val="none"/>
                      <w:lang w:val="en-US" w:eastAsia="zh-CN" w:bidi="ar-SA"/>
                    </w:rPr>
                  </w:pPr>
                  <w:r>
                    <w:rPr>
                      <w:rFonts w:hint="eastAsia" w:cs="Times New Roman"/>
                      <w:sz w:val="18"/>
                      <w:szCs w:val="18"/>
                      <w:highlight w:val="none"/>
                      <w:lang w:val="en-US" w:eastAsia="zh-CN"/>
                    </w:rPr>
                    <w:t>/</w:t>
                  </w:r>
                </w:p>
              </w:tc>
            </w:tr>
            <w:tr w14:paraId="0184A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99" w:type="dxa"/>
                  <w:shd w:val="clear" w:color="auto" w:fill="auto"/>
                  <w:noWrap w:val="0"/>
                  <w:vAlign w:val="center"/>
                </w:tcPr>
                <w:p w14:paraId="38EBADFA">
                  <w:pPr>
                    <w:pStyle w:val="23"/>
                    <w:ind w:left="-240" w:leftChars="-100" w:right="-240" w:rightChars="-100" w:firstLine="0" w:firstLineChars="0"/>
                    <w:jc w:val="center"/>
                    <w:rPr>
                      <w:color w:val="auto"/>
                      <w:sz w:val="18"/>
                      <w:szCs w:val="18"/>
                    </w:rPr>
                  </w:pPr>
                  <w:r>
                    <w:rPr>
                      <w:color w:val="auto"/>
                      <w:sz w:val="18"/>
                      <w:szCs w:val="18"/>
                    </w:rPr>
                    <w:t>非甲烷总烃</w:t>
                  </w:r>
                </w:p>
                <w:p w14:paraId="47E3C5DA">
                  <w:pPr>
                    <w:pStyle w:val="23"/>
                    <w:ind w:left="-240" w:leftChars="-100" w:right="-240" w:rightChars="-100" w:firstLine="0" w:firstLineChars="0"/>
                    <w:jc w:val="center"/>
                    <w:rPr>
                      <w:rFonts w:hint="default" w:ascii="Times New Roman" w:hAnsi="Times New Roman" w:eastAsia="宋体" w:cs="Times New Roman"/>
                      <w:color w:val="auto"/>
                      <w:kern w:val="2"/>
                      <w:sz w:val="18"/>
                      <w:szCs w:val="18"/>
                      <w:lang w:val="en-US" w:eastAsia="zh-CN" w:bidi="ar-SA"/>
                    </w:rPr>
                  </w:pPr>
                  <w:r>
                    <w:rPr>
                      <w:color w:val="auto"/>
                      <w:sz w:val="18"/>
                      <w:szCs w:val="18"/>
                    </w:rPr>
                    <w:t>浓度（以碳计）</w:t>
                  </w:r>
                </w:p>
              </w:tc>
              <w:tc>
                <w:tcPr>
                  <w:tcW w:w="699" w:type="dxa"/>
                  <w:noWrap w:val="0"/>
                  <w:vAlign w:val="center"/>
                </w:tcPr>
                <w:p w14:paraId="04FAC704">
                  <w:pPr>
                    <w:pStyle w:val="23"/>
                    <w:ind w:left="-120" w:leftChars="-50" w:right="-120" w:rightChars="-5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mg/m</w:t>
                  </w:r>
                  <w:r>
                    <w:rPr>
                      <w:rFonts w:hint="default" w:ascii="Times New Roman" w:hAnsi="Times New Roman" w:eastAsia="宋体" w:cs="Times New Roman"/>
                      <w:sz w:val="18"/>
                      <w:szCs w:val="18"/>
                      <w:vertAlign w:val="superscript"/>
                    </w:rPr>
                    <w:t>3</w:t>
                  </w:r>
                </w:p>
              </w:tc>
              <w:tc>
                <w:tcPr>
                  <w:tcW w:w="909" w:type="dxa"/>
                  <w:noWrap w:val="0"/>
                  <w:vAlign w:val="center"/>
                </w:tcPr>
                <w:p w14:paraId="39194858">
                  <w:pPr>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6.86</w:t>
                  </w:r>
                </w:p>
              </w:tc>
              <w:tc>
                <w:tcPr>
                  <w:tcW w:w="909" w:type="dxa"/>
                  <w:noWrap w:val="0"/>
                  <w:vAlign w:val="center"/>
                </w:tcPr>
                <w:p w14:paraId="436E00D4">
                  <w:pPr>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6.93</w:t>
                  </w:r>
                </w:p>
              </w:tc>
              <w:tc>
                <w:tcPr>
                  <w:tcW w:w="915" w:type="dxa"/>
                  <w:gridSpan w:val="2"/>
                  <w:noWrap w:val="0"/>
                  <w:vAlign w:val="center"/>
                </w:tcPr>
                <w:p w14:paraId="421C7D56">
                  <w:pPr>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6.50</w:t>
                  </w:r>
                </w:p>
              </w:tc>
              <w:tc>
                <w:tcPr>
                  <w:tcW w:w="920" w:type="dxa"/>
                  <w:gridSpan w:val="2"/>
                  <w:noWrap w:val="0"/>
                  <w:vAlign w:val="center"/>
                </w:tcPr>
                <w:p w14:paraId="5212FF99">
                  <w:pPr>
                    <w:jc w:val="center"/>
                    <w:rPr>
                      <w:rFonts w:hint="default" w:eastAsia="宋体" w:cs="Times New Roman"/>
                      <w:sz w:val="18"/>
                      <w:szCs w:val="18"/>
                      <w:highlight w:val="none"/>
                      <w:lang w:val="en-US" w:eastAsia="zh-CN"/>
                    </w:rPr>
                  </w:pPr>
                  <w:r>
                    <w:rPr>
                      <w:rFonts w:hint="eastAsia" w:cs="Times New Roman"/>
                      <w:sz w:val="18"/>
                      <w:szCs w:val="18"/>
                      <w:highlight w:val="none"/>
                      <w:lang w:val="en-US" w:eastAsia="zh-CN"/>
                    </w:rPr>
                    <w:t>1.73</w:t>
                  </w:r>
                </w:p>
              </w:tc>
              <w:tc>
                <w:tcPr>
                  <w:tcW w:w="946" w:type="dxa"/>
                  <w:gridSpan w:val="2"/>
                  <w:noWrap w:val="0"/>
                  <w:vAlign w:val="center"/>
                </w:tcPr>
                <w:p w14:paraId="27F498D8">
                  <w:pPr>
                    <w:jc w:val="center"/>
                    <w:rPr>
                      <w:rFonts w:hint="default" w:eastAsia="宋体" w:cs="Times New Roman"/>
                      <w:sz w:val="18"/>
                      <w:szCs w:val="18"/>
                      <w:highlight w:val="none"/>
                      <w:lang w:val="en-US" w:eastAsia="zh-CN"/>
                    </w:rPr>
                  </w:pPr>
                  <w:r>
                    <w:rPr>
                      <w:rFonts w:hint="eastAsia" w:cs="Times New Roman"/>
                      <w:sz w:val="18"/>
                      <w:szCs w:val="18"/>
                      <w:highlight w:val="none"/>
                      <w:lang w:val="en-US" w:eastAsia="zh-CN"/>
                    </w:rPr>
                    <w:t>1.71</w:t>
                  </w:r>
                </w:p>
              </w:tc>
              <w:tc>
                <w:tcPr>
                  <w:tcW w:w="932" w:type="dxa"/>
                  <w:gridSpan w:val="2"/>
                  <w:noWrap w:val="0"/>
                  <w:vAlign w:val="center"/>
                </w:tcPr>
                <w:p w14:paraId="4B9E5A02">
                  <w:pPr>
                    <w:jc w:val="center"/>
                    <w:rPr>
                      <w:rFonts w:hint="default" w:eastAsia="宋体" w:cs="Times New Roman"/>
                      <w:sz w:val="18"/>
                      <w:szCs w:val="18"/>
                      <w:highlight w:val="none"/>
                      <w:lang w:val="en-US" w:eastAsia="zh-CN"/>
                    </w:rPr>
                  </w:pPr>
                  <w:r>
                    <w:rPr>
                      <w:rFonts w:hint="eastAsia" w:cs="Times New Roman"/>
                      <w:sz w:val="18"/>
                      <w:szCs w:val="18"/>
                      <w:highlight w:val="none"/>
                      <w:lang w:val="en-US" w:eastAsia="zh-CN"/>
                    </w:rPr>
                    <w:t>1.73</w:t>
                  </w:r>
                </w:p>
              </w:tc>
              <w:tc>
                <w:tcPr>
                  <w:tcW w:w="848" w:type="dxa"/>
                  <w:noWrap w:val="0"/>
                  <w:vAlign w:val="center"/>
                </w:tcPr>
                <w:p w14:paraId="484FA6BE">
                  <w:pPr>
                    <w:jc w:val="center"/>
                    <w:rPr>
                      <w:rFonts w:hint="default" w:eastAsia="宋体" w:cs="Times New Roman"/>
                      <w:sz w:val="18"/>
                      <w:szCs w:val="18"/>
                      <w:highlight w:val="none"/>
                      <w:lang w:val="en-US" w:eastAsia="zh-CN"/>
                    </w:rPr>
                  </w:pPr>
                  <w:r>
                    <w:rPr>
                      <w:rFonts w:hint="eastAsia" w:cs="Times New Roman"/>
                      <w:sz w:val="18"/>
                      <w:szCs w:val="18"/>
                      <w:highlight w:val="none"/>
                      <w:lang w:val="en-US" w:eastAsia="zh-CN"/>
                    </w:rPr>
                    <w:t>60</w:t>
                  </w:r>
                </w:p>
              </w:tc>
            </w:tr>
            <w:tr w14:paraId="408C2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99" w:type="dxa"/>
                  <w:shd w:val="clear" w:color="auto" w:fill="auto"/>
                  <w:noWrap w:val="0"/>
                  <w:vAlign w:val="center"/>
                </w:tcPr>
                <w:p w14:paraId="713D784F">
                  <w:pPr>
                    <w:pStyle w:val="23"/>
                    <w:ind w:left="-240" w:leftChars="-100" w:right="-240" w:rightChars="-100" w:firstLine="0" w:firstLineChars="0"/>
                    <w:jc w:val="center"/>
                    <w:rPr>
                      <w:color w:val="auto"/>
                      <w:sz w:val="18"/>
                      <w:szCs w:val="18"/>
                    </w:rPr>
                  </w:pPr>
                  <w:r>
                    <w:rPr>
                      <w:color w:val="auto"/>
                      <w:sz w:val="18"/>
                      <w:szCs w:val="18"/>
                    </w:rPr>
                    <w:t>非甲烷总烃</w:t>
                  </w:r>
                </w:p>
                <w:p w14:paraId="4320F8A9">
                  <w:pPr>
                    <w:pStyle w:val="23"/>
                    <w:ind w:left="-240" w:leftChars="-100" w:right="-240" w:rightChars="-100" w:firstLine="0" w:firstLineChars="0"/>
                    <w:jc w:val="center"/>
                    <w:rPr>
                      <w:color w:val="auto"/>
                      <w:sz w:val="18"/>
                      <w:szCs w:val="18"/>
                    </w:rPr>
                  </w:pPr>
                  <w:r>
                    <w:rPr>
                      <w:color w:val="auto"/>
                      <w:sz w:val="18"/>
                      <w:szCs w:val="18"/>
                    </w:rPr>
                    <w:t>平均浓度</w:t>
                  </w:r>
                </w:p>
                <w:p w14:paraId="4028969B">
                  <w:pPr>
                    <w:pStyle w:val="23"/>
                    <w:ind w:left="-240" w:leftChars="-100" w:right="-240" w:rightChars="-100" w:firstLine="0" w:firstLineChars="0"/>
                    <w:jc w:val="center"/>
                    <w:rPr>
                      <w:rFonts w:hint="default" w:ascii="Times New Roman" w:hAnsi="Times New Roman" w:eastAsia="宋体" w:cs="Times New Roman"/>
                      <w:color w:val="auto"/>
                      <w:kern w:val="2"/>
                      <w:sz w:val="18"/>
                      <w:szCs w:val="18"/>
                      <w:lang w:val="en-US" w:eastAsia="zh-CN" w:bidi="ar-SA"/>
                    </w:rPr>
                  </w:pPr>
                  <w:r>
                    <w:rPr>
                      <w:color w:val="auto"/>
                      <w:sz w:val="18"/>
                      <w:szCs w:val="18"/>
                    </w:rPr>
                    <w:t>（以碳计）</w:t>
                  </w:r>
                </w:p>
              </w:tc>
              <w:tc>
                <w:tcPr>
                  <w:tcW w:w="699" w:type="dxa"/>
                  <w:noWrap w:val="0"/>
                  <w:vAlign w:val="center"/>
                </w:tcPr>
                <w:p w14:paraId="38598234">
                  <w:pPr>
                    <w:pStyle w:val="23"/>
                    <w:ind w:left="-120" w:leftChars="-50" w:right="-120" w:rightChars="-5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mg/m</w:t>
                  </w:r>
                  <w:r>
                    <w:rPr>
                      <w:rFonts w:hint="default" w:ascii="Times New Roman" w:hAnsi="Times New Roman" w:eastAsia="宋体" w:cs="Times New Roman"/>
                      <w:sz w:val="18"/>
                      <w:szCs w:val="18"/>
                      <w:vertAlign w:val="superscript"/>
                    </w:rPr>
                    <w:t>3</w:t>
                  </w:r>
                </w:p>
              </w:tc>
              <w:tc>
                <w:tcPr>
                  <w:tcW w:w="2733" w:type="dxa"/>
                  <w:gridSpan w:val="4"/>
                  <w:noWrap w:val="0"/>
                  <w:vAlign w:val="center"/>
                </w:tcPr>
                <w:p w14:paraId="7178C43A">
                  <w:pPr>
                    <w:jc w:val="center"/>
                    <w:rPr>
                      <w:rFonts w:hint="default" w:cs="Times New Roman"/>
                      <w:sz w:val="18"/>
                      <w:szCs w:val="18"/>
                      <w:highlight w:val="none"/>
                      <w:lang w:val="en-US" w:eastAsia="zh-CN"/>
                    </w:rPr>
                  </w:pPr>
                  <w:r>
                    <w:rPr>
                      <w:rFonts w:hint="eastAsia" w:cs="Times New Roman"/>
                      <w:sz w:val="18"/>
                      <w:szCs w:val="18"/>
                      <w:highlight w:val="none"/>
                      <w:lang w:val="en-US" w:eastAsia="zh-CN"/>
                    </w:rPr>
                    <w:t>6.76</w:t>
                  </w:r>
                </w:p>
              </w:tc>
              <w:tc>
                <w:tcPr>
                  <w:tcW w:w="2798" w:type="dxa"/>
                  <w:gridSpan w:val="6"/>
                  <w:noWrap w:val="0"/>
                  <w:vAlign w:val="center"/>
                </w:tcPr>
                <w:p w14:paraId="164646CA">
                  <w:pPr>
                    <w:jc w:val="center"/>
                    <w:rPr>
                      <w:rFonts w:hint="default" w:cs="Times New Roman"/>
                      <w:sz w:val="18"/>
                      <w:szCs w:val="18"/>
                      <w:highlight w:val="none"/>
                      <w:lang w:val="en-US" w:eastAsia="zh-CN"/>
                    </w:rPr>
                  </w:pPr>
                  <w:r>
                    <w:rPr>
                      <w:rFonts w:hint="eastAsia" w:cs="Times New Roman"/>
                      <w:sz w:val="18"/>
                      <w:szCs w:val="18"/>
                      <w:highlight w:val="none"/>
                      <w:lang w:val="en-US" w:eastAsia="zh-CN"/>
                    </w:rPr>
                    <w:t>1.72</w:t>
                  </w:r>
                </w:p>
              </w:tc>
              <w:tc>
                <w:tcPr>
                  <w:tcW w:w="848" w:type="dxa"/>
                  <w:noWrap w:val="0"/>
                  <w:vAlign w:val="center"/>
                </w:tcPr>
                <w:p w14:paraId="4717E84C">
                  <w:pPr>
                    <w:jc w:val="center"/>
                    <w:rPr>
                      <w:rFonts w:hint="default" w:cs="Times New Roman"/>
                      <w:sz w:val="18"/>
                      <w:szCs w:val="18"/>
                      <w:highlight w:val="none"/>
                      <w:lang w:val="en-US" w:eastAsia="zh-CN"/>
                    </w:rPr>
                  </w:pPr>
                  <w:r>
                    <w:rPr>
                      <w:rFonts w:hint="eastAsia" w:cs="Times New Roman"/>
                      <w:sz w:val="18"/>
                      <w:szCs w:val="18"/>
                      <w:highlight w:val="none"/>
                      <w:lang w:val="en-US" w:eastAsia="zh-CN"/>
                    </w:rPr>
                    <w:t>60</w:t>
                  </w:r>
                </w:p>
              </w:tc>
            </w:tr>
            <w:tr w14:paraId="2519B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99" w:type="dxa"/>
                  <w:shd w:val="clear" w:color="auto" w:fill="auto"/>
                  <w:noWrap w:val="0"/>
                  <w:vAlign w:val="center"/>
                </w:tcPr>
                <w:p w14:paraId="643A13E2">
                  <w:pPr>
                    <w:pStyle w:val="23"/>
                    <w:ind w:left="-240" w:leftChars="-100" w:right="-240" w:rightChars="-100" w:firstLine="0" w:firstLineChars="0"/>
                    <w:jc w:val="center"/>
                    <w:rPr>
                      <w:color w:val="auto"/>
                      <w:sz w:val="18"/>
                      <w:szCs w:val="18"/>
                    </w:rPr>
                  </w:pPr>
                  <w:r>
                    <w:rPr>
                      <w:color w:val="auto"/>
                      <w:sz w:val="18"/>
                      <w:szCs w:val="18"/>
                    </w:rPr>
                    <w:t>非甲烷总烃</w:t>
                  </w:r>
                </w:p>
                <w:p w14:paraId="462DFD1D">
                  <w:pPr>
                    <w:pStyle w:val="23"/>
                    <w:ind w:left="-240" w:leftChars="-100" w:right="-240" w:rightChars="-100" w:firstLine="0" w:firstLineChars="0"/>
                    <w:jc w:val="center"/>
                    <w:rPr>
                      <w:color w:val="auto"/>
                      <w:sz w:val="18"/>
                      <w:szCs w:val="18"/>
                    </w:rPr>
                  </w:pPr>
                  <w:r>
                    <w:rPr>
                      <w:color w:val="auto"/>
                      <w:sz w:val="18"/>
                      <w:szCs w:val="18"/>
                    </w:rPr>
                    <w:t>排放速率</w:t>
                  </w:r>
                </w:p>
                <w:p w14:paraId="0518E3CD">
                  <w:pPr>
                    <w:pStyle w:val="23"/>
                    <w:ind w:left="-240" w:leftChars="-100" w:right="-240" w:rightChars="-100" w:firstLine="0" w:firstLineChars="0"/>
                    <w:jc w:val="center"/>
                    <w:rPr>
                      <w:rFonts w:hint="default" w:ascii="Times New Roman" w:hAnsi="Times New Roman" w:eastAsia="宋体" w:cs="Times New Roman"/>
                      <w:color w:val="auto"/>
                      <w:kern w:val="2"/>
                      <w:sz w:val="18"/>
                      <w:szCs w:val="18"/>
                      <w:lang w:val="en-US" w:eastAsia="zh-CN" w:bidi="ar-SA"/>
                    </w:rPr>
                  </w:pPr>
                  <w:r>
                    <w:rPr>
                      <w:color w:val="auto"/>
                      <w:sz w:val="18"/>
                      <w:szCs w:val="18"/>
                    </w:rPr>
                    <w:t>（以碳计）</w:t>
                  </w:r>
                </w:p>
              </w:tc>
              <w:tc>
                <w:tcPr>
                  <w:tcW w:w="699" w:type="dxa"/>
                  <w:noWrap w:val="0"/>
                  <w:vAlign w:val="center"/>
                </w:tcPr>
                <w:p w14:paraId="33463AF6">
                  <w:pPr>
                    <w:pStyle w:val="23"/>
                    <w:ind w:left="-120" w:leftChars="-50" w:right="-120" w:rightChars="-5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kg/h</w:t>
                  </w:r>
                </w:p>
              </w:tc>
              <w:tc>
                <w:tcPr>
                  <w:tcW w:w="909" w:type="dxa"/>
                  <w:noWrap w:val="0"/>
                  <w:vAlign w:val="center"/>
                </w:tcPr>
                <w:p w14:paraId="1145E825">
                  <w:pPr>
                    <w:jc w:val="center"/>
                    <w:rPr>
                      <w:rFonts w:hint="default" w:cs="Times New Roman"/>
                      <w:sz w:val="18"/>
                      <w:szCs w:val="18"/>
                      <w:highlight w:val="none"/>
                      <w:lang w:val="en-US" w:eastAsia="zh-CN"/>
                    </w:rPr>
                  </w:pPr>
                  <w:r>
                    <w:rPr>
                      <w:rFonts w:hint="eastAsia" w:cs="Times New Roman"/>
                      <w:sz w:val="18"/>
                      <w:szCs w:val="18"/>
                      <w:highlight w:val="none"/>
                      <w:lang w:val="en-US" w:eastAsia="zh-CN"/>
                    </w:rPr>
                    <w:t>0.107</w:t>
                  </w:r>
                </w:p>
              </w:tc>
              <w:tc>
                <w:tcPr>
                  <w:tcW w:w="909" w:type="dxa"/>
                  <w:noWrap w:val="0"/>
                  <w:vAlign w:val="center"/>
                </w:tcPr>
                <w:p w14:paraId="5F95C838">
                  <w:pPr>
                    <w:jc w:val="center"/>
                    <w:rPr>
                      <w:rFonts w:hint="default" w:cs="Times New Roman"/>
                      <w:sz w:val="18"/>
                      <w:szCs w:val="18"/>
                      <w:highlight w:val="none"/>
                      <w:lang w:val="en-US" w:eastAsia="zh-CN"/>
                    </w:rPr>
                  </w:pPr>
                  <w:r>
                    <w:rPr>
                      <w:rFonts w:hint="eastAsia" w:cs="Times New Roman"/>
                      <w:sz w:val="18"/>
                      <w:szCs w:val="18"/>
                      <w:highlight w:val="none"/>
                      <w:lang w:val="en-US" w:eastAsia="zh-CN"/>
                    </w:rPr>
                    <w:t>0.108</w:t>
                  </w:r>
                </w:p>
              </w:tc>
              <w:tc>
                <w:tcPr>
                  <w:tcW w:w="915" w:type="dxa"/>
                  <w:gridSpan w:val="2"/>
                  <w:noWrap w:val="0"/>
                  <w:vAlign w:val="center"/>
                </w:tcPr>
                <w:p w14:paraId="7F812732">
                  <w:pPr>
                    <w:jc w:val="center"/>
                    <w:rPr>
                      <w:rFonts w:hint="default" w:cs="Times New Roman"/>
                      <w:sz w:val="18"/>
                      <w:szCs w:val="18"/>
                      <w:highlight w:val="none"/>
                      <w:lang w:val="en-US" w:eastAsia="zh-CN"/>
                    </w:rPr>
                  </w:pPr>
                  <w:r>
                    <w:rPr>
                      <w:rFonts w:hint="eastAsia" w:cs="Times New Roman"/>
                      <w:sz w:val="18"/>
                      <w:szCs w:val="18"/>
                      <w:highlight w:val="none"/>
                      <w:lang w:val="en-US" w:eastAsia="zh-CN"/>
                    </w:rPr>
                    <w:t>0.101</w:t>
                  </w:r>
                </w:p>
              </w:tc>
              <w:tc>
                <w:tcPr>
                  <w:tcW w:w="920" w:type="dxa"/>
                  <w:gridSpan w:val="2"/>
                  <w:noWrap w:val="0"/>
                  <w:vAlign w:val="center"/>
                </w:tcPr>
                <w:p w14:paraId="681EDEA5">
                  <w:pPr>
                    <w:jc w:val="center"/>
                    <w:rPr>
                      <w:rFonts w:hint="default" w:cs="Times New Roman"/>
                      <w:sz w:val="18"/>
                      <w:szCs w:val="18"/>
                      <w:highlight w:val="none"/>
                      <w:lang w:val="en-US" w:eastAsia="zh-CN"/>
                    </w:rPr>
                  </w:pPr>
                  <w:r>
                    <w:rPr>
                      <w:rFonts w:hint="eastAsia" w:cs="Times New Roman"/>
                      <w:sz w:val="18"/>
                      <w:szCs w:val="18"/>
                      <w:highlight w:val="none"/>
                      <w:lang w:val="en-US" w:eastAsia="zh-CN"/>
                    </w:rPr>
                    <w:t>0.0227</w:t>
                  </w:r>
                </w:p>
              </w:tc>
              <w:tc>
                <w:tcPr>
                  <w:tcW w:w="946" w:type="dxa"/>
                  <w:gridSpan w:val="2"/>
                  <w:noWrap w:val="0"/>
                  <w:vAlign w:val="center"/>
                </w:tcPr>
                <w:p w14:paraId="77D36613">
                  <w:pPr>
                    <w:jc w:val="center"/>
                    <w:rPr>
                      <w:rFonts w:hint="default" w:cs="Times New Roman"/>
                      <w:sz w:val="18"/>
                      <w:szCs w:val="18"/>
                      <w:highlight w:val="none"/>
                      <w:lang w:val="en-US" w:eastAsia="zh-CN"/>
                    </w:rPr>
                  </w:pPr>
                  <w:r>
                    <w:rPr>
                      <w:rFonts w:hint="eastAsia" w:cs="Times New Roman"/>
                      <w:sz w:val="18"/>
                      <w:szCs w:val="18"/>
                      <w:highlight w:val="none"/>
                      <w:lang w:val="en-US" w:eastAsia="zh-CN"/>
                    </w:rPr>
                    <w:t>0.0224</w:t>
                  </w:r>
                </w:p>
              </w:tc>
              <w:tc>
                <w:tcPr>
                  <w:tcW w:w="932" w:type="dxa"/>
                  <w:gridSpan w:val="2"/>
                  <w:noWrap w:val="0"/>
                  <w:vAlign w:val="center"/>
                </w:tcPr>
                <w:p w14:paraId="5A5C6EE5">
                  <w:pPr>
                    <w:jc w:val="center"/>
                    <w:rPr>
                      <w:rFonts w:hint="default" w:cs="Times New Roman"/>
                      <w:sz w:val="18"/>
                      <w:szCs w:val="18"/>
                      <w:highlight w:val="none"/>
                      <w:lang w:val="en-US" w:eastAsia="zh-CN"/>
                    </w:rPr>
                  </w:pPr>
                  <w:r>
                    <w:rPr>
                      <w:rFonts w:hint="eastAsia" w:cs="Times New Roman"/>
                      <w:sz w:val="18"/>
                      <w:szCs w:val="18"/>
                      <w:highlight w:val="none"/>
                      <w:lang w:val="en-US" w:eastAsia="zh-CN"/>
                    </w:rPr>
                    <w:t>0.0239</w:t>
                  </w:r>
                </w:p>
              </w:tc>
              <w:tc>
                <w:tcPr>
                  <w:tcW w:w="848" w:type="dxa"/>
                  <w:noWrap w:val="0"/>
                  <w:vAlign w:val="center"/>
                </w:tcPr>
                <w:p w14:paraId="2FCF6CC8">
                  <w:pPr>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w:t>
                  </w:r>
                </w:p>
              </w:tc>
            </w:tr>
            <w:tr w14:paraId="355CC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999" w:type="dxa"/>
                  <w:shd w:val="clear" w:color="auto" w:fill="auto"/>
                  <w:noWrap w:val="0"/>
                  <w:vAlign w:val="center"/>
                </w:tcPr>
                <w:p w14:paraId="0277D1B1">
                  <w:pPr>
                    <w:pStyle w:val="23"/>
                    <w:ind w:left="-240" w:leftChars="-100" w:right="-240" w:rightChars="-100" w:firstLine="0" w:firstLineChars="0"/>
                    <w:jc w:val="center"/>
                    <w:rPr>
                      <w:color w:val="auto"/>
                      <w:sz w:val="18"/>
                      <w:szCs w:val="18"/>
                    </w:rPr>
                  </w:pPr>
                  <w:r>
                    <w:rPr>
                      <w:color w:val="auto"/>
                      <w:sz w:val="18"/>
                      <w:szCs w:val="18"/>
                    </w:rPr>
                    <w:t>非甲烷总烃</w:t>
                  </w:r>
                </w:p>
                <w:p w14:paraId="2ADA4EAE">
                  <w:pPr>
                    <w:pStyle w:val="23"/>
                    <w:ind w:left="-240" w:leftChars="-100" w:right="-240" w:rightChars="-100" w:firstLine="0" w:firstLineChars="0"/>
                    <w:jc w:val="center"/>
                    <w:rPr>
                      <w:color w:val="auto"/>
                      <w:sz w:val="18"/>
                      <w:szCs w:val="18"/>
                    </w:rPr>
                  </w:pPr>
                  <w:r>
                    <w:rPr>
                      <w:color w:val="auto"/>
                      <w:sz w:val="18"/>
                      <w:szCs w:val="18"/>
                    </w:rPr>
                    <w:t>平均排放速率</w:t>
                  </w:r>
                </w:p>
                <w:p w14:paraId="03452329">
                  <w:pPr>
                    <w:pStyle w:val="23"/>
                    <w:ind w:left="-240" w:leftChars="-100" w:right="-240" w:rightChars="-100" w:firstLine="0" w:firstLineChars="0"/>
                    <w:jc w:val="center"/>
                    <w:rPr>
                      <w:rFonts w:hint="default" w:ascii="Times New Roman" w:hAnsi="Times New Roman" w:eastAsia="宋体" w:cs="Times New Roman"/>
                      <w:color w:val="auto"/>
                      <w:kern w:val="2"/>
                      <w:sz w:val="18"/>
                      <w:szCs w:val="18"/>
                      <w:lang w:val="en-US" w:eastAsia="zh-CN" w:bidi="ar-SA"/>
                    </w:rPr>
                  </w:pPr>
                  <w:r>
                    <w:rPr>
                      <w:color w:val="auto"/>
                      <w:sz w:val="18"/>
                      <w:szCs w:val="18"/>
                    </w:rPr>
                    <w:t>（以碳计）</w:t>
                  </w:r>
                </w:p>
              </w:tc>
              <w:tc>
                <w:tcPr>
                  <w:tcW w:w="699" w:type="dxa"/>
                  <w:noWrap w:val="0"/>
                  <w:vAlign w:val="center"/>
                </w:tcPr>
                <w:p w14:paraId="12ABC258">
                  <w:pPr>
                    <w:pStyle w:val="23"/>
                    <w:ind w:left="-120" w:leftChars="-50" w:right="-120" w:rightChars="-5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kg/h</w:t>
                  </w:r>
                </w:p>
              </w:tc>
              <w:tc>
                <w:tcPr>
                  <w:tcW w:w="2733" w:type="dxa"/>
                  <w:gridSpan w:val="4"/>
                  <w:noWrap w:val="0"/>
                  <w:vAlign w:val="center"/>
                </w:tcPr>
                <w:p w14:paraId="6AC1CD32">
                  <w:pPr>
                    <w:jc w:val="center"/>
                    <w:rPr>
                      <w:rFonts w:hint="default" w:cs="Times New Roman"/>
                      <w:sz w:val="18"/>
                      <w:szCs w:val="18"/>
                      <w:highlight w:val="none"/>
                      <w:lang w:val="en-US" w:eastAsia="zh-CN"/>
                    </w:rPr>
                  </w:pPr>
                  <w:r>
                    <w:rPr>
                      <w:rFonts w:hint="eastAsia" w:cs="Times New Roman"/>
                      <w:sz w:val="18"/>
                      <w:szCs w:val="18"/>
                      <w:highlight w:val="none"/>
                      <w:lang w:val="en-US" w:eastAsia="zh-CN"/>
                    </w:rPr>
                    <w:t>0.105</w:t>
                  </w:r>
                </w:p>
              </w:tc>
              <w:tc>
                <w:tcPr>
                  <w:tcW w:w="2798" w:type="dxa"/>
                  <w:gridSpan w:val="6"/>
                  <w:noWrap w:val="0"/>
                  <w:vAlign w:val="center"/>
                </w:tcPr>
                <w:p w14:paraId="3C57A921">
                  <w:pPr>
                    <w:jc w:val="center"/>
                    <w:rPr>
                      <w:rFonts w:hint="default" w:cs="Times New Roman"/>
                      <w:sz w:val="18"/>
                      <w:szCs w:val="18"/>
                      <w:highlight w:val="none"/>
                      <w:lang w:val="en-US" w:eastAsia="zh-CN"/>
                    </w:rPr>
                  </w:pPr>
                  <w:r>
                    <w:rPr>
                      <w:rFonts w:hint="eastAsia" w:cs="Times New Roman"/>
                      <w:sz w:val="18"/>
                      <w:szCs w:val="18"/>
                      <w:highlight w:val="none"/>
                      <w:lang w:val="en-US" w:eastAsia="zh-CN"/>
                    </w:rPr>
                    <w:t>0.0230</w:t>
                  </w:r>
                </w:p>
              </w:tc>
              <w:tc>
                <w:tcPr>
                  <w:tcW w:w="848" w:type="dxa"/>
                  <w:noWrap w:val="0"/>
                  <w:vAlign w:val="center"/>
                </w:tcPr>
                <w:p w14:paraId="3F3E5514">
                  <w:pPr>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w:t>
                  </w:r>
                </w:p>
              </w:tc>
            </w:tr>
          </w:tbl>
          <w:p w14:paraId="67EE072E">
            <w:pPr>
              <w:spacing w:line="360" w:lineRule="auto"/>
              <w:jc w:val="center"/>
              <w:rPr>
                <w:rFonts w:hint="default" w:ascii="Times New Roman" w:hAnsi="Times New Roman" w:eastAsia="宋体" w:cs="Times New Roman"/>
                <w:b/>
                <w:spacing w:val="-2"/>
                <w:sz w:val="18"/>
                <w:szCs w:val="18"/>
              </w:rPr>
            </w:pPr>
            <w:r>
              <w:rPr>
                <w:rFonts w:hint="default" w:ascii="Times New Roman" w:hAnsi="Times New Roman" w:eastAsia="宋体" w:cs="Times New Roman"/>
                <w:b/>
                <w:spacing w:val="-2"/>
                <w:sz w:val="18"/>
                <w:szCs w:val="18"/>
              </w:rPr>
              <w:t>表</w:t>
            </w:r>
            <w:r>
              <w:rPr>
                <w:rFonts w:hint="eastAsia" w:cs="Times New Roman"/>
                <w:b/>
                <w:spacing w:val="-2"/>
                <w:sz w:val="18"/>
                <w:szCs w:val="18"/>
                <w:lang w:val="en-US" w:eastAsia="zh-CN"/>
              </w:rPr>
              <w:t>4</w:t>
            </w:r>
            <w:r>
              <w:rPr>
                <w:rFonts w:hint="default" w:ascii="Times New Roman" w:hAnsi="Times New Roman" w:eastAsia="宋体" w:cs="Times New Roman"/>
                <w:b/>
                <w:spacing w:val="-2"/>
                <w:sz w:val="18"/>
                <w:szCs w:val="18"/>
                <w:lang w:val="en-US" w:eastAsia="zh-CN"/>
              </w:rPr>
              <w:t>吹膜、制袋、印刷进</w:t>
            </w:r>
            <w:r>
              <w:rPr>
                <w:rFonts w:hint="eastAsia" w:ascii="Times New Roman" w:hAnsi="Times New Roman" w:eastAsia="宋体" w:cs="Times New Roman"/>
                <w:b/>
                <w:spacing w:val="-2"/>
                <w:sz w:val="18"/>
                <w:szCs w:val="18"/>
                <w:lang w:val="en-US" w:eastAsia="zh-CN"/>
              </w:rPr>
              <w:t>、出</w:t>
            </w:r>
            <w:r>
              <w:rPr>
                <w:rFonts w:hint="default" w:ascii="Times New Roman" w:hAnsi="Times New Roman" w:eastAsia="宋体" w:cs="Times New Roman"/>
                <w:b/>
                <w:spacing w:val="-2"/>
                <w:sz w:val="18"/>
                <w:szCs w:val="18"/>
                <w:lang w:val="en-US" w:eastAsia="zh-CN"/>
              </w:rPr>
              <w:t>口</w:t>
            </w:r>
            <w:r>
              <w:rPr>
                <w:rFonts w:hint="eastAsia" w:ascii="Times New Roman" w:hAnsi="Times New Roman" w:eastAsia="宋体" w:cs="Times New Roman"/>
                <w:b/>
                <w:spacing w:val="-2"/>
                <w:sz w:val="18"/>
                <w:szCs w:val="18"/>
                <w:lang w:val="en-US" w:eastAsia="zh-CN"/>
              </w:rPr>
              <w:t>臭气浓度</w:t>
            </w:r>
            <w:r>
              <w:rPr>
                <w:rFonts w:hint="default" w:ascii="Times New Roman" w:hAnsi="Times New Roman" w:eastAsia="宋体" w:cs="Times New Roman"/>
                <w:b/>
                <w:spacing w:val="-2"/>
                <w:sz w:val="18"/>
                <w:szCs w:val="18"/>
              </w:rPr>
              <w:t>检测结果202</w:t>
            </w:r>
            <w:r>
              <w:rPr>
                <w:rFonts w:hint="default" w:ascii="Times New Roman" w:hAnsi="Times New Roman" w:eastAsia="宋体" w:cs="Times New Roman"/>
                <w:b/>
                <w:spacing w:val="-2"/>
                <w:sz w:val="18"/>
                <w:szCs w:val="18"/>
                <w:lang w:val="en-US" w:eastAsia="zh-CN"/>
              </w:rPr>
              <w:t>5.07.01</w:t>
            </w:r>
          </w:p>
          <w:tbl>
            <w:tblPr>
              <w:tblStyle w:val="15"/>
              <w:tblW w:w="7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2261"/>
              <w:gridCol w:w="825"/>
              <w:gridCol w:w="1044"/>
              <w:gridCol w:w="1079"/>
              <w:gridCol w:w="1104"/>
              <w:gridCol w:w="1104"/>
            </w:tblGrid>
            <w:tr w14:paraId="5B21F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80" w:type="dxa"/>
                  <w:vAlign w:val="center"/>
                </w:tcPr>
                <w:p w14:paraId="50EEFDA4">
                  <w:pPr>
                    <w:spacing w:line="360" w:lineRule="auto"/>
                    <w:jc w:val="center"/>
                    <w:rPr>
                      <w:rFonts w:hint="default" w:ascii="Times New Roman" w:hAnsi="Times New Roman" w:eastAsia="宋体" w:cs="Times New Roman"/>
                      <w:b/>
                      <w:color w:val="000000" w:themeColor="text1"/>
                      <w:spacing w:val="-2"/>
                      <w:sz w:val="18"/>
                      <w:szCs w:val="18"/>
                      <w:vertAlign w:val="baseline"/>
                      <w:lang w:val="en-US" w:eastAsia="zh-CN"/>
                      <w14:textFill>
                        <w14:solidFill>
                          <w14:schemeClr w14:val="tx1"/>
                        </w14:solidFill>
                      </w14:textFill>
                    </w:rPr>
                  </w:pPr>
                  <w:r>
                    <w:rPr>
                      <w:rFonts w:hint="eastAsia" w:cs="Times New Roman"/>
                      <w:b/>
                      <w:color w:val="000000" w:themeColor="text1"/>
                      <w:spacing w:val="-2"/>
                      <w:sz w:val="18"/>
                      <w:szCs w:val="18"/>
                      <w:vertAlign w:val="baseline"/>
                      <w:lang w:val="en-US" w:eastAsia="zh-CN"/>
                      <w14:textFill>
                        <w14:solidFill>
                          <w14:schemeClr w14:val="tx1"/>
                        </w14:solidFill>
                      </w14:textFill>
                    </w:rPr>
                    <w:t>采样日期</w:t>
                  </w:r>
                </w:p>
              </w:tc>
              <w:tc>
                <w:tcPr>
                  <w:tcW w:w="2261" w:type="dxa"/>
                  <w:vAlign w:val="center"/>
                </w:tcPr>
                <w:p w14:paraId="614FDDF5">
                  <w:pPr>
                    <w:spacing w:line="360" w:lineRule="auto"/>
                    <w:jc w:val="center"/>
                    <w:rPr>
                      <w:rFonts w:hint="default" w:ascii="Times New Roman" w:hAnsi="Times New Roman" w:eastAsia="宋体" w:cs="Times New Roman"/>
                      <w:b/>
                      <w:color w:val="000000" w:themeColor="text1"/>
                      <w:spacing w:val="-2"/>
                      <w:sz w:val="18"/>
                      <w:szCs w:val="18"/>
                      <w:vertAlign w:val="baseline"/>
                      <w:lang w:val="en-US" w:eastAsia="zh-CN"/>
                      <w14:textFill>
                        <w14:solidFill>
                          <w14:schemeClr w14:val="tx1"/>
                        </w14:solidFill>
                      </w14:textFill>
                    </w:rPr>
                  </w:pPr>
                  <w:r>
                    <w:rPr>
                      <w:rFonts w:hint="eastAsia" w:cs="Times New Roman"/>
                      <w:b/>
                      <w:color w:val="000000" w:themeColor="text1"/>
                      <w:spacing w:val="-2"/>
                      <w:sz w:val="18"/>
                      <w:szCs w:val="18"/>
                      <w:vertAlign w:val="baseline"/>
                      <w:lang w:val="en-US" w:eastAsia="zh-CN"/>
                      <w14:textFill>
                        <w14:solidFill>
                          <w14:schemeClr w14:val="tx1"/>
                        </w14:solidFill>
                      </w14:textFill>
                    </w:rPr>
                    <w:t>样品编号</w:t>
                  </w:r>
                </w:p>
              </w:tc>
              <w:tc>
                <w:tcPr>
                  <w:tcW w:w="825" w:type="dxa"/>
                  <w:vAlign w:val="center"/>
                </w:tcPr>
                <w:p w14:paraId="4E2EC283">
                  <w:pPr>
                    <w:spacing w:line="360" w:lineRule="auto"/>
                    <w:jc w:val="center"/>
                    <w:rPr>
                      <w:rFonts w:hint="default" w:ascii="Times New Roman" w:hAnsi="Times New Roman" w:eastAsia="宋体" w:cs="Times New Roman"/>
                      <w:b/>
                      <w:color w:val="000000" w:themeColor="text1"/>
                      <w:spacing w:val="-2"/>
                      <w:sz w:val="18"/>
                      <w:szCs w:val="18"/>
                      <w:vertAlign w:val="baseline"/>
                      <w:lang w:val="en-US" w:eastAsia="zh-CN"/>
                      <w14:textFill>
                        <w14:solidFill>
                          <w14:schemeClr w14:val="tx1"/>
                        </w14:solidFill>
                      </w14:textFill>
                    </w:rPr>
                  </w:pPr>
                  <w:r>
                    <w:rPr>
                      <w:rFonts w:hint="eastAsia" w:cs="Times New Roman"/>
                      <w:b/>
                      <w:color w:val="000000" w:themeColor="text1"/>
                      <w:spacing w:val="-2"/>
                      <w:sz w:val="18"/>
                      <w:szCs w:val="18"/>
                      <w:vertAlign w:val="baseline"/>
                      <w:lang w:val="en-US" w:eastAsia="zh-CN"/>
                      <w14:textFill>
                        <w14:solidFill>
                          <w14:schemeClr w14:val="tx1"/>
                        </w14:solidFill>
                      </w14:textFill>
                    </w:rPr>
                    <w:t>采样时间</w:t>
                  </w:r>
                </w:p>
              </w:tc>
              <w:tc>
                <w:tcPr>
                  <w:tcW w:w="1044" w:type="dxa"/>
                  <w:vAlign w:val="center"/>
                </w:tcPr>
                <w:p w14:paraId="75916E5D">
                  <w:pPr>
                    <w:spacing w:line="360" w:lineRule="auto"/>
                    <w:jc w:val="center"/>
                    <w:rPr>
                      <w:rFonts w:hint="default" w:ascii="Times New Roman" w:hAnsi="Times New Roman" w:eastAsia="宋体" w:cs="Times New Roman"/>
                      <w:b/>
                      <w:color w:val="000000" w:themeColor="text1"/>
                      <w:spacing w:val="-2"/>
                      <w:sz w:val="18"/>
                      <w:szCs w:val="18"/>
                      <w:vertAlign w:val="baseline"/>
                      <w:lang w:val="en-US" w:eastAsia="zh-CN"/>
                      <w14:textFill>
                        <w14:solidFill>
                          <w14:schemeClr w14:val="tx1"/>
                        </w14:solidFill>
                      </w14:textFill>
                    </w:rPr>
                  </w:pPr>
                  <w:r>
                    <w:rPr>
                      <w:rFonts w:hint="eastAsia" w:cs="Times New Roman"/>
                      <w:b/>
                      <w:color w:val="000000" w:themeColor="text1"/>
                      <w:spacing w:val="-2"/>
                      <w:sz w:val="18"/>
                      <w:szCs w:val="18"/>
                      <w:vertAlign w:val="baseline"/>
                      <w:lang w:val="en-US" w:eastAsia="zh-CN"/>
                      <w14:textFill>
                        <w14:solidFill>
                          <w14:schemeClr w14:val="tx1"/>
                        </w14:solidFill>
                      </w14:textFill>
                    </w:rPr>
                    <w:t>采样位置</w:t>
                  </w:r>
                </w:p>
              </w:tc>
              <w:tc>
                <w:tcPr>
                  <w:tcW w:w="1079" w:type="dxa"/>
                  <w:vAlign w:val="center"/>
                </w:tcPr>
                <w:p w14:paraId="1BE59DDA">
                  <w:pPr>
                    <w:spacing w:line="240" w:lineRule="auto"/>
                    <w:jc w:val="center"/>
                    <w:rPr>
                      <w:rFonts w:hint="eastAsia" w:cs="Times New Roman"/>
                      <w:b/>
                      <w:color w:val="000000" w:themeColor="text1"/>
                      <w:spacing w:val="-2"/>
                      <w:sz w:val="18"/>
                      <w:szCs w:val="18"/>
                      <w:vertAlign w:val="baseline"/>
                      <w:lang w:val="en-US" w:eastAsia="zh-CN"/>
                      <w14:textFill>
                        <w14:solidFill>
                          <w14:schemeClr w14:val="tx1"/>
                        </w14:solidFill>
                      </w14:textFill>
                    </w:rPr>
                  </w:pPr>
                  <w:r>
                    <w:rPr>
                      <w:rFonts w:hint="eastAsia" w:cs="Times New Roman"/>
                      <w:b/>
                      <w:color w:val="000000" w:themeColor="text1"/>
                      <w:spacing w:val="-2"/>
                      <w:sz w:val="18"/>
                      <w:szCs w:val="18"/>
                      <w:vertAlign w:val="baseline"/>
                      <w:lang w:val="en-US" w:eastAsia="zh-CN"/>
                      <w14:textFill>
                        <w14:solidFill>
                          <w14:schemeClr w14:val="tx1"/>
                        </w14:solidFill>
                      </w14:textFill>
                    </w:rPr>
                    <w:t>臭气浓度</w:t>
                  </w:r>
                </w:p>
                <w:p w14:paraId="180E5E31">
                  <w:pPr>
                    <w:spacing w:line="240" w:lineRule="auto"/>
                    <w:jc w:val="center"/>
                    <w:rPr>
                      <w:rFonts w:hint="default" w:ascii="Times New Roman" w:hAnsi="Times New Roman" w:eastAsia="宋体" w:cs="Times New Roman"/>
                      <w:b/>
                      <w:color w:val="000000" w:themeColor="text1"/>
                      <w:spacing w:val="-2"/>
                      <w:sz w:val="18"/>
                      <w:szCs w:val="18"/>
                      <w:vertAlign w:val="baseline"/>
                      <w:lang w:val="en-US" w:eastAsia="zh-CN"/>
                      <w14:textFill>
                        <w14:solidFill>
                          <w14:schemeClr w14:val="tx1"/>
                        </w14:solidFill>
                      </w14:textFill>
                    </w:rPr>
                  </w:pPr>
                  <w:r>
                    <w:rPr>
                      <w:rFonts w:hint="eastAsia" w:cs="Times New Roman"/>
                      <w:b/>
                      <w:color w:val="000000" w:themeColor="text1"/>
                      <w:spacing w:val="-2"/>
                      <w:sz w:val="18"/>
                      <w:szCs w:val="18"/>
                      <w:vertAlign w:val="baseline"/>
                      <w:lang w:val="en-US" w:eastAsia="zh-CN"/>
                      <w14:textFill>
                        <w14:solidFill>
                          <w14:schemeClr w14:val="tx1"/>
                        </w14:solidFill>
                      </w14:textFill>
                    </w:rPr>
                    <w:t>（无量纲）</w:t>
                  </w:r>
                </w:p>
              </w:tc>
              <w:tc>
                <w:tcPr>
                  <w:tcW w:w="1104" w:type="dxa"/>
                  <w:vAlign w:val="center"/>
                </w:tcPr>
                <w:p w14:paraId="5D00C40D">
                  <w:pPr>
                    <w:spacing w:line="240" w:lineRule="auto"/>
                    <w:jc w:val="center"/>
                    <w:rPr>
                      <w:rFonts w:hint="eastAsia" w:cs="Times New Roman"/>
                      <w:b/>
                      <w:color w:val="000000" w:themeColor="text1"/>
                      <w:spacing w:val="-2"/>
                      <w:sz w:val="18"/>
                      <w:szCs w:val="18"/>
                      <w:vertAlign w:val="baseline"/>
                      <w:lang w:val="en-US" w:eastAsia="zh-CN"/>
                      <w14:textFill>
                        <w14:solidFill>
                          <w14:schemeClr w14:val="tx1"/>
                        </w14:solidFill>
                      </w14:textFill>
                    </w:rPr>
                  </w:pPr>
                  <w:r>
                    <w:rPr>
                      <w:rFonts w:hint="eastAsia" w:cs="Times New Roman"/>
                      <w:b/>
                      <w:color w:val="000000" w:themeColor="text1"/>
                      <w:spacing w:val="-2"/>
                      <w:sz w:val="18"/>
                      <w:szCs w:val="18"/>
                      <w:vertAlign w:val="baseline"/>
                      <w:lang w:val="en-US" w:eastAsia="zh-CN"/>
                      <w14:textFill>
                        <w14:solidFill>
                          <w14:schemeClr w14:val="tx1"/>
                        </w14:solidFill>
                      </w14:textFill>
                    </w:rPr>
                    <w:t>最大值</w:t>
                  </w:r>
                </w:p>
                <w:p w14:paraId="4B4E0C58">
                  <w:pPr>
                    <w:spacing w:line="240" w:lineRule="auto"/>
                    <w:jc w:val="center"/>
                    <w:rPr>
                      <w:rFonts w:hint="default" w:cs="Times New Roman"/>
                      <w:b/>
                      <w:color w:val="000000" w:themeColor="text1"/>
                      <w:spacing w:val="-2"/>
                      <w:sz w:val="18"/>
                      <w:szCs w:val="18"/>
                      <w:vertAlign w:val="baseline"/>
                      <w:lang w:val="en-US" w:eastAsia="zh-CN"/>
                      <w14:textFill>
                        <w14:solidFill>
                          <w14:schemeClr w14:val="tx1"/>
                        </w14:solidFill>
                      </w14:textFill>
                    </w:rPr>
                  </w:pPr>
                  <w:r>
                    <w:rPr>
                      <w:rFonts w:hint="eastAsia" w:cs="Times New Roman"/>
                      <w:b/>
                      <w:color w:val="000000" w:themeColor="text1"/>
                      <w:spacing w:val="-2"/>
                      <w:sz w:val="18"/>
                      <w:szCs w:val="18"/>
                      <w:vertAlign w:val="baseline"/>
                      <w:lang w:val="en-US" w:eastAsia="zh-CN"/>
                      <w14:textFill>
                        <w14:solidFill>
                          <w14:schemeClr w14:val="tx1"/>
                        </w14:solidFill>
                      </w14:textFill>
                    </w:rPr>
                    <w:t>（无量纲）</w:t>
                  </w:r>
                </w:p>
              </w:tc>
              <w:tc>
                <w:tcPr>
                  <w:tcW w:w="1104" w:type="dxa"/>
                  <w:vAlign w:val="center"/>
                </w:tcPr>
                <w:p w14:paraId="118700B3">
                  <w:pPr>
                    <w:spacing w:line="240" w:lineRule="auto"/>
                    <w:jc w:val="center"/>
                    <w:rPr>
                      <w:rFonts w:hint="default" w:cs="Times New Roman"/>
                      <w:b/>
                      <w:color w:val="000000" w:themeColor="text1"/>
                      <w:spacing w:val="-2"/>
                      <w:sz w:val="18"/>
                      <w:szCs w:val="18"/>
                      <w:vertAlign w:val="baseline"/>
                      <w:lang w:val="en-US" w:eastAsia="zh-CN"/>
                      <w14:textFill>
                        <w14:solidFill>
                          <w14:schemeClr w14:val="tx1"/>
                        </w14:solidFill>
                      </w14:textFill>
                    </w:rPr>
                  </w:pPr>
                  <w:r>
                    <w:rPr>
                      <w:rFonts w:hint="eastAsia" w:cs="Times New Roman"/>
                      <w:b/>
                      <w:color w:val="000000" w:themeColor="text1"/>
                      <w:spacing w:val="-2"/>
                      <w:sz w:val="18"/>
                      <w:szCs w:val="18"/>
                      <w:vertAlign w:val="baseline"/>
                      <w:lang w:val="en-US" w:eastAsia="zh-CN"/>
                      <w14:textFill>
                        <w14:solidFill>
                          <w14:schemeClr w14:val="tx1"/>
                        </w14:solidFill>
                      </w14:textFill>
                    </w:rPr>
                    <w:t>限值</w:t>
                  </w:r>
                </w:p>
              </w:tc>
            </w:tr>
            <w:tr w14:paraId="144A2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580" w:type="dxa"/>
                  <w:vMerge w:val="restart"/>
                  <w:vAlign w:val="center"/>
                </w:tcPr>
                <w:p w14:paraId="47F62EA7">
                  <w:pPr>
                    <w:spacing w:line="360" w:lineRule="auto"/>
                    <w:jc w:val="center"/>
                    <w:rPr>
                      <w:rFonts w:hint="default" w:ascii="宋体" w:hAnsi="宋体" w:eastAsia="宋体" w:cs="宋体"/>
                      <w:b w:val="0"/>
                      <w:bCs/>
                      <w:color w:val="000000" w:themeColor="text1"/>
                      <w:spacing w:val="-2"/>
                      <w:sz w:val="18"/>
                      <w:szCs w:val="18"/>
                      <w:vertAlign w:val="baseline"/>
                      <w:lang w:val="en-US" w:eastAsia="zh-CN"/>
                      <w14:textFill>
                        <w14:solidFill>
                          <w14:schemeClr w14:val="tx1"/>
                        </w14:solidFill>
                      </w14:textFill>
                    </w:rPr>
                  </w:pPr>
                  <w:r>
                    <w:rPr>
                      <w:rFonts w:hint="eastAsia" w:ascii="Times New Roman" w:hAnsi="Times New Roman" w:eastAsia="宋体" w:cs="Times New Roman"/>
                      <w:kern w:val="2"/>
                      <w:sz w:val="18"/>
                      <w:szCs w:val="18"/>
                      <w:lang w:val="en-US" w:eastAsia="zh-CN" w:bidi="ar-SA"/>
                    </w:rPr>
                    <w:t>202</w:t>
                  </w:r>
                  <w:r>
                    <w:rPr>
                      <w:rFonts w:hint="eastAsia" w:cs="Times New Roman"/>
                      <w:kern w:val="2"/>
                      <w:sz w:val="18"/>
                      <w:szCs w:val="18"/>
                      <w:lang w:val="en-US" w:eastAsia="zh-CN" w:bidi="ar-SA"/>
                    </w:rPr>
                    <w:t>5.07.01</w:t>
                  </w:r>
                </w:p>
              </w:tc>
              <w:tc>
                <w:tcPr>
                  <w:tcW w:w="2261" w:type="dxa"/>
                  <w:vAlign w:val="center"/>
                </w:tcPr>
                <w:p w14:paraId="00259906">
                  <w:pPr>
                    <w:spacing w:line="360" w:lineRule="auto"/>
                    <w:jc w:val="center"/>
                    <w:rPr>
                      <w:rFonts w:hint="default" w:cs="Times New Roman"/>
                      <w:kern w:val="2"/>
                      <w:sz w:val="18"/>
                      <w:szCs w:val="18"/>
                      <w:lang w:val="en-US" w:eastAsia="zh-CN" w:bidi="ar-SA"/>
                    </w:rPr>
                  </w:pPr>
                  <w:r>
                    <w:rPr>
                      <w:rFonts w:hint="eastAsia" w:cs="Times New Roman"/>
                      <w:kern w:val="2"/>
                      <w:sz w:val="18"/>
                      <w:szCs w:val="18"/>
                      <w:lang w:val="en-US" w:eastAsia="zh-CN" w:bidi="ar-SA"/>
                    </w:rPr>
                    <w:t>2507Y081-气-001-101</w:t>
                  </w:r>
                </w:p>
              </w:tc>
              <w:tc>
                <w:tcPr>
                  <w:tcW w:w="825" w:type="dxa"/>
                  <w:vAlign w:val="center"/>
                </w:tcPr>
                <w:p w14:paraId="4D97F94A">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10:26</w:t>
                  </w:r>
                </w:p>
              </w:tc>
              <w:tc>
                <w:tcPr>
                  <w:tcW w:w="1044" w:type="dxa"/>
                  <w:vMerge w:val="restart"/>
                  <w:shd w:val="clear" w:color="auto" w:fill="auto"/>
                  <w:vAlign w:val="center"/>
                </w:tcPr>
                <w:p w14:paraId="24EF044D">
                  <w:pPr>
                    <w:tabs>
                      <w:tab w:val="left" w:pos="386"/>
                    </w:tabs>
                    <w:spacing w:line="240" w:lineRule="auto"/>
                    <w:jc w:val="center"/>
                    <w:rPr>
                      <w:rFonts w:hint="default" w:ascii="宋体" w:hAnsi="宋体" w:eastAsia="宋体" w:cs="宋体"/>
                      <w:b w:val="0"/>
                      <w:bCs/>
                      <w:color w:val="000000" w:themeColor="text1"/>
                      <w:spacing w:val="-2"/>
                      <w:sz w:val="18"/>
                      <w:szCs w:val="18"/>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kern w:val="2"/>
                      <w:sz w:val="18"/>
                      <w:szCs w:val="18"/>
                      <w:u w:val="none"/>
                      <w:lang w:val="en-US" w:eastAsia="zh-CN" w:bidi="ar-SA"/>
                    </w:rPr>
                    <w:t>吹膜、制袋、印刷进口</w:t>
                  </w:r>
                </w:p>
              </w:tc>
              <w:tc>
                <w:tcPr>
                  <w:tcW w:w="1079" w:type="dxa"/>
                  <w:vAlign w:val="center"/>
                </w:tcPr>
                <w:p w14:paraId="5D9FA9B3">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977</w:t>
                  </w:r>
                </w:p>
              </w:tc>
              <w:tc>
                <w:tcPr>
                  <w:tcW w:w="1104" w:type="dxa"/>
                  <w:vMerge w:val="restart"/>
                  <w:vAlign w:val="center"/>
                </w:tcPr>
                <w:p w14:paraId="7EC56C7F">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1995</w:t>
                  </w:r>
                </w:p>
              </w:tc>
              <w:tc>
                <w:tcPr>
                  <w:tcW w:w="1104" w:type="dxa"/>
                  <w:vMerge w:val="restart"/>
                  <w:vAlign w:val="center"/>
                </w:tcPr>
                <w:p w14:paraId="546F863C">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w:t>
                  </w:r>
                </w:p>
              </w:tc>
            </w:tr>
            <w:tr w14:paraId="473E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580" w:type="dxa"/>
                  <w:vMerge w:val="continue"/>
                </w:tcPr>
                <w:p w14:paraId="50596F24">
                  <w:pPr>
                    <w:spacing w:line="360" w:lineRule="auto"/>
                    <w:jc w:val="center"/>
                    <w:rPr>
                      <w:rFonts w:hint="eastAsia" w:ascii="宋体" w:hAnsi="宋体" w:eastAsia="宋体" w:cs="宋体"/>
                      <w:b w:val="0"/>
                      <w:bCs/>
                      <w:color w:val="000000" w:themeColor="text1"/>
                      <w:spacing w:val="-2"/>
                      <w:sz w:val="18"/>
                      <w:szCs w:val="18"/>
                      <w:vertAlign w:val="baseline"/>
                      <w14:textFill>
                        <w14:solidFill>
                          <w14:schemeClr w14:val="tx1"/>
                        </w14:solidFill>
                      </w14:textFill>
                    </w:rPr>
                  </w:pPr>
                </w:p>
              </w:tc>
              <w:tc>
                <w:tcPr>
                  <w:tcW w:w="2261" w:type="dxa"/>
                  <w:vAlign w:val="center"/>
                </w:tcPr>
                <w:p w14:paraId="16719AD0">
                  <w:pPr>
                    <w:spacing w:line="360" w:lineRule="auto"/>
                    <w:jc w:val="center"/>
                    <w:rPr>
                      <w:rFonts w:hint="default" w:cs="Times New Roman"/>
                      <w:kern w:val="2"/>
                      <w:sz w:val="18"/>
                      <w:szCs w:val="18"/>
                      <w:lang w:val="en-US" w:eastAsia="zh-CN" w:bidi="ar-SA"/>
                    </w:rPr>
                  </w:pPr>
                  <w:r>
                    <w:rPr>
                      <w:rFonts w:hint="eastAsia" w:cs="Times New Roman"/>
                      <w:kern w:val="2"/>
                      <w:sz w:val="18"/>
                      <w:szCs w:val="18"/>
                      <w:lang w:val="en-US" w:eastAsia="zh-CN" w:bidi="ar-SA"/>
                    </w:rPr>
                    <w:t>2507Y081-气-001-102</w:t>
                  </w:r>
                </w:p>
              </w:tc>
              <w:tc>
                <w:tcPr>
                  <w:tcW w:w="825" w:type="dxa"/>
                  <w:vAlign w:val="center"/>
                </w:tcPr>
                <w:p w14:paraId="12E91B36">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12:32</w:t>
                  </w:r>
                </w:p>
              </w:tc>
              <w:tc>
                <w:tcPr>
                  <w:tcW w:w="1044" w:type="dxa"/>
                  <w:vMerge w:val="continue"/>
                  <w:vAlign w:val="center"/>
                </w:tcPr>
                <w:p w14:paraId="36B52B42">
                  <w:pPr>
                    <w:spacing w:line="240" w:lineRule="auto"/>
                    <w:jc w:val="center"/>
                    <w:rPr>
                      <w:rFonts w:hint="eastAsia" w:ascii="宋体" w:hAnsi="宋体" w:eastAsia="宋体" w:cs="宋体"/>
                      <w:b w:val="0"/>
                      <w:bCs/>
                      <w:color w:val="000000" w:themeColor="text1"/>
                      <w:spacing w:val="-2"/>
                      <w:sz w:val="18"/>
                      <w:szCs w:val="18"/>
                      <w:vertAlign w:val="baseline"/>
                      <w14:textFill>
                        <w14:solidFill>
                          <w14:schemeClr w14:val="tx1"/>
                        </w14:solidFill>
                      </w14:textFill>
                    </w:rPr>
                  </w:pPr>
                </w:p>
              </w:tc>
              <w:tc>
                <w:tcPr>
                  <w:tcW w:w="1079" w:type="dxa"/>
                  <w:vAlign w:val="center"/>
                </w:tcPr>
                <w:p w14:paraId="062D2BE1">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1995</w:t>
                  </w:r>
                </w:p>
              </w:tc>
              <w:tc>
                <w:tcPr>
                  <w:tcW w:w="1104" w:type="dxa"/>
                  <w:vMerge w:val="continue"/>
                  <w:vAlign w:val="center"/>
                </w:tcPr>
                <w:p w14:paraId="4F2B92A9">
                  <w:pPr>
                    <w:keepNext w:val="0"/>
                    <w:keepLines w:val="0"/>
                    <w:widowControl/>
                    <w:suppressLineNumbers w:val="0"/>
                    <w:jc w:val="center"/>
                    <w:textAlignment w:val="center"/>
                    <w:rPr>
                      <w:rFonts w:hint="eastAsia" w:ascii="Times New Roman" w:hAnsi="Times New Roman" w:eastAsia="宋体" w:cs="Times New Roman"/>
                      <w:kern w:val="2"/>
                      <w:sz w:val="18"/>
                      <w:szCs w:val="18"/>
                      <w:lang w:val="en-US" w:eastAsia="zh-CN" w:bidi="ar-SA"/>
                    </w:rPr>
                  </w:pPr>
                </w:p>
              </w:tc>
              <w:tc>
                <w:tcPr>
                  <w:tcW w:w="1104" w:type="dxa"/>
                  <w:vMerge w:val="continue"/>
                  <w:vAlign w:val="center"/>
                </w:tcPr>
                <w:p w14:paraId="41FD4210">
                  <w:pPr>
                    <w:keepNext w:val="0"/>
                    <w:keepLines w:val="0"/>
                    <w:widowControl/>
                    <w:suppressLineNumbers w:val="0"/>
                    <w:jc w:val="center"/>
                    <w:textAlignment w:val="center"/>
                    <w:rPr>
                      <w:rFonts w:hint="eastAsia" w:ascii="Times New Roman" w:hAnsi="Times New Roman" w:eastAsia="宋体" w:cs="Times New Roman"/>
                      <w:kern w:val="2"/>
                      <w:sz w:val="18"/>
                      <w:szCs w:val="18"/>
                      <w:lang w:val="en-US" w:eastAsia="zh-CN" w:bidi="ar-SA"/>
                    </w:rPr>
                  </w:pPr>
                </w:p>
              </w:tc>
            </w:tr>
            <w:tr w14:paraId="6C989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580" w:type="dxa"/>
                  <w:vMerge w:val="continue"/>
                </w:tcPr>
                <w:p w14:paraId="69C93611">
                  <w:pPr>
                    <w:spacing w:line="360" w:lineRule="auto"/>
                    <w:jc w:val="center"/>
                    <w:rPr>
                      <w:rFonts w:hint="eastAsia" w:ascii="宋体" w:hAnsi="宋体" w:eastAsia="宋体" w:cs="宋体"/>
                      <w:b w:val="0"/>
                      <w:bCs/>
                      <w:color w:val="000000" w:themeColor="text1"/>
                      <w:spacing w:val="-2"/>
                      <w:sz w:val="18"/>
                      <w:szCs w:val="18"/>
                      <w:vertAlign w:val="baseline"/>
                      <w14:textFill>
                        <w14:solidFill>
                          <w14:schemeClr w14:val="tx1"/>
                        </w14:solidFill>
                      </w14:textFill>
                    </w:rPr>
                  </w:pPr>
                </w:p>
              </w:tc>
              <w:tc>
                <w:tcPr>
                  <w:tcW w:w="2261" w:type="dxa"/>
                  <w:vAlign w:val="center"/>
                </w:tcPr>
                <w:p w14:paraId="0ABC885C">
                  <w:pPr>
                    <w:spacing w:line="360" w:lineRule="auto"/>
                    <w:jc w:val="center"/>
                    <w:rPr>
                      <w:rFonts w:hint="default" w:cs="Times New Roman"/>
                      <w:kern w:val="2"/>
                      <w:sz w:val="18"/>
                      <w:szCs w:val="18"/>
                      <w:lang w:val="en-US" w:eastAsia="zh-CN" w:bidi="ar-SA"/>
                    </w:rPr>
                  </w:pPr>
                  <w:r>
                    <w:rPr>
                      <w:rFonts w:hint="eastAsia" w:cs="Times New Roman"/>
                      <w:kern w:val="2"/>
                      <w:sz w:val="18"/>
                      <w:szCs w:val="18"/>
                      <w:lang w:val="en-US" w:eastAsia="zh-CN" w:bidi="ar-SA"/>
                    </w:rPr>
                    <w:t>2507Y081-气-001-103</w:t>
                  </w:r>
                </w:p>
              </w:tc>
              <w:tc>
                <w:tcPr>
                  <w:tcW w:w="825" w:type="dxa"/>
                  <w:vAlign w:val="center"/>
                </w:tcPr>
                <w:p w14:paraId="4D4213E6">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14:38</w:t>
                  </w:r>
                </w:p>
              </w:tc>
              <w:tc>
                <w:tcPr>
                  <w:tcW w:w="1044" w:type="dxa"/>
                  <w:vMerge w:val="continue"/>
                  <w:vAlign w:val="center"/>
                </w:tcPr>
                <w:p w14:paraId="487B79B2">
                  <w:pPr>
                    <w:spacing w:line="240" w:lineRule="auto"/>
                    <w:jc w:val="center"/>
                    <w:rPr>
                      <w:rFonts w:hint="eastAsia" w:ascii="宋体" w:hAnsi="宋体" w:eastAsia="宋体" w:cs="宋体"/>
                      <w:b w:val="0"/>
                      <w:bCs/>
                      <w:color w:val="000000" w:themeColor="text1"/>
                      <w:spacing w:val="-2"/>
                      <w:sz w:val="18"/>
                      <w:szCs w:val="18"/>
                      <w:vertAlign w:val="baseline"/>
                      <w14:textFill>
                        <w14:solidFill>
                          <w14:schemeClr w14:val="tx1"/>
                        </w14:solidFill>
                      </w14:textFill>
                    </w:rPr>
                  </w:pPr>
                </w:p>
              </w:tc>
              <w:tc>
                <w:tcPr>
                  <w:tcW w:w="1079" w:type="dxa"/>
                  <w:vAlign w:val="center"/>
                </w:tcPr>
                <w:p w14:paraId="56A45CE0">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1513</w:t>
                  </w:r>
                </w:p>
              </w:tc>
              <w:tc>
                <w:tcPr>
                  <w:tcW w:w="1104" w:type="dxa"/>
                  <w:vMerge w:val="continue"/>
                  <w:vAlign w:val="center"/>
                </w:tcPr>
                <w:p w14:paraId="54281E4D">
                  <w:pPr>
                    <w:keepNext w:val="0"/>
                    <w:keepLines w:val="0"/>
                    <w:widowControl/>
                    <w:suppressLineNumbers w:val="0"/>
                    <w:jc w:val="center"/>
                    <w:textAlignment w:val="center"/>
                    <w:rPr>
                      <w:rFonts w:hint="eastAsia" w:ascii="Times New Roman" w:hAnsi="Times New Roman" w:eastAsia="宋体" w:cs="Times New Roman"/>
                      <w:kern w:val="2"/>
                      <w:sz w:val="18"/>
                      <w:szCs w:val="18"/>
                      <w:lang w:val="en-US" w:eastAsia="zh-CN" w:bidi="ar-SA"/>
                    </w:rPr>
                  </w:pPr>
                </w:p>
              </w:tc>
              <w:tc>
                <w:tcPr>
                  <w:tcW w:w="1104" w:type="dxa"/>
                  <w:vMerge w:val="continue"/>
                  <w:vAlign w:val="center"/>
                </w:tcPr>
                <w:p w14:paraId="489CE9A4">
                  <w:pPr>
                    <w:keepNext w:val="0"/>
                    <w:keepLines w:val="0"/>
                    <w:widowControl/>
                    <w:suppressLineNumbers w:val="0"/>
                    <w:jc w:val="center"/>
                    <w:textAlignment w:val="center"/>
                    <w:rPr>
                      <w:rFonts w:hint="eastAsia" w:ascii="Times New Roman" w:hAnsi="Times New Roman" w:eastAsia="宋体" w:cs="Times New Roman"/>
                      <w:kern w:val="2"/>
                      <w:sz w:val="18"/>
                      <w:szCs w:val="18"/>
                      <w:lang w:val="en-US" w:eastAsia="zh-CN" w:bidi="ar-SA"/>
                    </w:rPr>
                  </w:pPr>
                </w:p>
              </w:tc>
            </w:tr>
            <w:tr w14:paraId="6D22E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580" w:type="dxa"/>
                  <w:vMerge w:val="continue"/>
                  <w:vAlign w:val="center"/>
                </w:tcPr>
                <w:p w14:paraId="12A16A35">
                  <w:pPr>
                    <w:spacing w:line="360" w:lineRule="auto"/>
                    <w:jc w:val="center"/>
                    <w:rPr>
                      <w:rFonts w:hint="default" w:ascii="宋体" w:hAnsi="宋体" w:eastAsia="宋体" w:cs="宋体"/>
                      <w:b w:val="0"/>
                      <w:bCs/>
                      <w:color w:val="000000" w:themeColor="text1"/>
                      <w:spacing w:val="-2"/>
                      <w:sz w:val="18"/>
                      <w:szCs w:val="18"/>
                      <w:vertAlign w:val="baseline"/>
                      <w:lang w:val="en-US"/>
                      <w14:textFill>
                        <w14:solidFill>
                          <w14:schemeClr w14:val="tx1"/>
                        </w14:solidFill>
                      </w14:textFill>
                    </w:rPr>
                  </w:pPr>
                </w:p>
              </w:tc>
              <w:tc>
                <w:tcPr>
                  <w:tcW w:w="2261" w:type="dxa"/>
                  <w:vAlign w:val="center"/>
                </w:tcPr>
                <w:p w14:paraId="2D5F2FCF">
                  <w:pPr>
                    <w:spacing w:line="360" w:lineRule="auto"/>
                    <w:jc w:val="center"/>
                    <w:rPr>
                      <w:rFonts w:hint="default" w:cs="Times New Roman"/>
                      <w:kern w:val="2"/>
                      <w:sz w:val="18"/>
                      <w:szCs w:val="18"/>
                      <w:lang w:val="en-US" w:eastAsia="zh-CN" w:bidi="ar-SA"/>
                    </w:rPr>
                  </w:pPr>
                  <w:r>
                    <w:rPr>
                      <w:rFonts w:hint="eastAsia" w:cs="Times New Roman"/>
                      <w:kern w:val="2"/>
                      <w:sz w:val="18"/>
                      <w:szCs w:val="18"/>
                      <w:lang w:val="en-US" w:eastAsia="zh-CN" w:bidi="ar-SA"/>
                    </w:rPr>
                    <w:t>2507Y081-气-002-101</w:t>
                  </w:r>
                </w:p>
              </w:tc>
              <w:tc>
                <w:tcPr>
                  <w:tcW w:w="825" w:type="dxa"/>
                  <w:shd w:val="clear" w:color="auto" w:fill="auto"/>
                  <w:vAlign w:val="center"/>
                </w:tcPr>
                <w:p w14:paraId="23CEC0D9">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10:26</w:t>
                  </w:r>
                </w:p>
              </w:tc>
              <w:tc>
                <w:tcPr>
                  <w:tcW w:w="1044" w:type="dxa"/>
                  <w:vMerge w:val="restart"/>
                  <w:shd w:val="clear" w:color="auto" w:fill="auto"/>
                  <w:vAlign w:val="center"/>
                </w:tcPr>
                <w:p w14:paraId="3C689C5E">
                  <w:pPr>
                    <w:spacing w:line="240" w:lineRule="auto"/>
                    <w:jc w:val="center"/>
                    <w:rPr>
                      <w:rFonts w:hint="eastAsia" w:ascii="宋体" w:hAnsi="宋体" w:eastAsia="宋体" w:cs="宋体"/>
                      <w:b w:val="0"/>
                      <w:bCs/>
                      <w:color w:val="000000" w:themeColor="text1"/>
                      <w:spacing w:val="-2"/>
                      <w:kern w:val="2"/>
                      <w:sz w:val="18"/>
                      <w:szCs w:val="18"/>
                      <w:vertAlign w:val="baseli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2"/>
                      <w:sz w:val="18"/>
                      <w:szCs w:val="18"/>
                      <w:u w:val="none"/>
                      <w:lang w:val="en-US" w:eastAsia="zh-CN" w:bidi="ar-SA"/>
                    </w:rPr>
                    <w:t>吹膜、制袋、印刷</w:t>
                  </w:r>
                  <w:r>
                    <w:rPr>
                      <w:rFonts w:hint="eastAsia" w:cs="Times New Roman"/>
                      <w:i w:val="0"/>
                      <w:iCs w:val="0"/>
                      <w:color w:val="000000"/>
                      <w:kern w:val="2"/>
                      <w:sz w:val="18"/>
                      <w:szCs w:val="18"/>
                      <w:u w:val="none"/>
                      <w:lang w:val="en-US" w:eastAsia="zh-CN" w:bidi="ar-SA"/>
                    </w:rPr>
                    <w:t>出</w:t>
                  </w:r>
                  <w:r>
                    <w:rPr>
                      <w:rFonts w:hint="default" w:ascii="Times New Roman" w:hAnsi="Times New Roman" w:eastAsia="宋体" w:cs="Times New Roman"/>
                      <w:i w:val="0"/>
                      <w:iCs w:val="0"/>
                      <w:color w:val="000000"/>
                      <w:kern w:val="2"/>
                      <w:sz w:val="18"/>
                      <w:szCs w:val="18"/>
                      <w:u w:val="none"/>
                      <w:lang w:val="en-US" w:eastAsia="zh-CN" w:bidi="ar-SA"/>
                    </w:rPr>
                    <w:t>口</w:t>
                  </w:r>
                </w:p>
              </w:tc>
              <w:tc>
                <w:tcPr>
                  <w:tcW w:w="1079" w:type="dxa"/>
                  <w:vAlign w:val="center"/>
                </w:tcPr>
                <w:p w14:paraId="488D97CF">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354</w:t>
                  </w:r>
                </w:p>
              </w:tc>
              <w:tc>
                <w:tcPr>
                  <w:tcW w:w="1104" w:type="dxa"/>
                  <w:vMerge w:val="restart"/>
                  <w:vAlign w:val="center"/>
                </w:tcPr>
                <w:p w14:paraId="69CC4A91">
                  <w:pPr>
                    <w:bidi w:val="0"/>
                    <w:jc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354</w:t>
                  </w:r>
                </w:p>
              </w:tc>
              <w:tc>
                <w:tcPr>
                  <w:tcW w:w="1104" w:type="dxa"/>
                  <w:vMerge w:val="restart"/>
                  <w:vAlign w:val="center"/>
                </w:tcPr>
                <w:p w14:paraId="6311AAAA">
                  <w:pPr>
                    <w:bidi w:val="0"/>
                    <w:jc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2000</w:t>
                  </w:r>
                </w:p>
              </w:tc>
            </w:tr>
            <w:tr w14:paraId="71910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580" w:type="dxa"/>
                  <w:vMerge w:val="continue"/>
                </w:tcPr>
                <w:p w14:paraId="1549C424">
                  <w:pPr>
                    <w:spacing w:line="360" w:lineRule="auto"/>
                    <w:jc w:val="center"/>
                    <w:rPr>
                      <w:rFonts w:hint="eastAsia" w:ascii="宋体" w:hAnsi="宋体" w:eastAsia="宋体" w:cs="宋体"/>
                      <w:b w:val="0"/>
                      <w:bCs/>
                      <w:color w:val="000000" w:themeColor="text1"/>
                      <w:spacing w:val="-2"/>
                      <w:sz w:val="18"/>
                      <w:szCs w:val="18"/>
                      <w:vertAlign w:val="baseline"/>
                      <w14:textFill>
                        <w14:solidFill>
                          <w14:schemeClr w14:val="tx1"/>
                        </w14:solidFill>
                      </w14:textFill>
                    </w:rPr>
                  </w:pPr>
                </w:p>
              </w:tc>
              <w:tc>
                <w:tcPr>
                  <w:tcW w:w="2261" w:type="dxa"/>
                  <w:vAlign w:val="center"/>
                </w:tcPr>
                <w:p w14:paraId="51F20DA6">
                  <w:pPr>
                    <w:spacing w:line="360" w:lineRule="auto"/>
                    <w:jc w:val="center"/>
                    <w:rPr>
                      <w:rFonts w:hint="default" w:cs="Times New Roman"/>
                      <w:kern w:val="2"/>
                      <w:sz w:val="18"/>
                      <w:szCs w:val="18"/>
                      <w:lang w:val="en-US" w:eastAsia="zh-CN" w:bidi="ar-SA"/>
                    </w:rPr>
                  </w:pPr>
                  <w:r>
                    <w:rPr>
                      <w:rFonts w:hint="eastAsia" w:cs="Times New Roman"/>
                      <w:kern w:val="2"/>
                      <w:sz w:val="18"/>
                      <w:szCs w:val="18"/>
                      <w:lang w:val="en-US" w:eastAsia="zh-CN" w:bidi="ar-SA"/>
                    </w:rPr>
                    <w:t>2507Y081-气-002-102</w:t>
                  </w:r>
                </w:p>
              </w:tc>
              <w:tc>
                <w:tcPr>
                  <w:tcW w:w="825" w:type="dxa"/>
                  <w:shd w:val="clear" w:color="auto" w:fill="auto"/>
                  <w:vAlign w:val="center"/>
                </w:tcPr>
                <w:p w14:paraId="748BB476">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12:32</w:t>
                  </w:r>
                </w:p>
              </w:tc>
              <w:tc>
                <w:tcPr>
                  <w:tcW w:w="1044" w:type="dxa"/>
                  <w:vMerge w:val="continue"/>
                </w:tcPr>
                <w:p w14:paraId="5090879D">
                  <w:pPr>
                    <w:spacing w:line="360" w:lineRule="auto"/>
                    <w:jc w:val="center"/>
                    <w:rPr>
                      <w:rFonts w:hint="eastAsia" w:ascii="宋体" w:hAnsi="宋体" w:eastAsia="宋体" w:cs="宋体"/>
                      <w:b w:val="0"/>
                      <w:bCs/>
                      <w:color w:val="000000" w:themeColor="text1"/>
                      <w:spacing w:val="-2"/>
                      <w:sz w:val="18"/>
                      <w:szCs w:val="18"/>
                      <w:vertAlign w:val="baseline"/>
                      <w14:textFill>
                        <w14:solidFill>
                          <w14:schemeClr w14:val="tx1"/>
                        </w14:solidFill>
                      </w14:textFill>
                    </w:rPr>
                  </w:pPr>
                </w:p>
              </w:tc>
              <w:tc>
                <w:tcPr>
                  <w:tcW w:w="1079" w:type="dxa"/>
                  <w:vAlign w:val="center"/>
                </w:tcPr>
                <w:p w14:paraId="0DF5E3BD">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309</w:t>
                  </w:r>
                </w:p>
              </w:tc>
              <w:tc>
                <w:tcPr>
                  <w:tcW w:w="1104" w:type="dxa"/>
                  <w:vMerge w:val="continue"/>
                  <w:vAlign w:val="center"/>
                </w:tcPr>
                <w:p w14:paraId="7B4DCF43">
                  <w:pPr>
                    <w:spacing w:line="360" w:lineRule="auto"/>
                    <w:jc w:val="center"/>
                    <w:rPr>
                      <w:rFonts w:hint="eastAsia" w:ascii="宋体" w:hAnsi="宋体" w:eastAsia="宋体" w:cs="宋体"/>
                      <w:b w:val="0"/>
                      <w:bCs/>
                      <w:color w:val="000000" w:themeColor="text1"/>
                      <w:spacing w:val="-2"/>
                      <w:sz w:val="18"/>
                      <w:szCs w:val="18"/>
                      <w:vertAlign w:val="baseline"/>
                      <w14:textFill>
                        <w14:solidFill>
                          <w14:schemeClr w14:val="tx1"/>
                        </w14:solidFill>
                      </w14:textFill>
                    </w:rPr>
                  </w:pPr>
                </w:p>
              </w:tc>
              <w:tc>
                <w:tcPr>
                  <w:tcW w:w="1104" w:type="dxa"/>
                  <w:vMerge w:val="continue"/>
                  <w:vAlign w:val="center"/>
                </w:tcPr>
                <w:p w14:paraId="29176AC4">
                  <w:pPr>
                    <w:spacing w:line="360" w:lineRule="auto"/>
                    <w:jc w:val="center"/>
                    <w:rPr>
                      <w:rFonts w:hint="eastAsia" w:ascii="宋体" w:hAnsi="宋体" w:eastAsia="宋体" w:cs="宋体"/>
                      <w:b w:val="0"/>
                      <w:bCs/>
                      <w:color w:val="000000" w:themeColor="text1"/>
                      <w:spacing w:val="-2"/>
                      <w:sz w:val="18"/>
                      <w:szCs w:val="18"/>
                      <w:vertAlign w:val="baseline"/>
                      <w14:textFill>
                        <w14:solidFill>
                          <w14:schemeClr w14:val="tx1"/>
                        </w14:solidFill>
                      </w14:textFill>
                    </w:rPr>
                  </w:pPr>
                </w:p>
              </w:tc>
            </w:tr>
            <w:tr w14:paraId="7722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80" w:type="dxa"/>
                  <w:vMerge w:val="continue"/>
                </w:tcPr>
                <w:p w14:paraId="731D8F3B">
                  <w:pPr>
                    <w:spacing w:line="360" w:lineRule="auto"/>
                    <w:jc w:val="center"/>
                    <w:rPr>
                      <w:rFonts w:hint="eastAsia" w:ascii="宋体" w:hAnsi="宋体" w:eastAsia="宋体" w:cs="宋体"/>
                      <w:b w:val="0"/>
                      <w:bCs/>
                      <w:color w:val="000000" w:themeColor="text1"/>
                      <w:spacing w:val="-2"/>
                      <w:sz w:val="18"/>
                      <w:szCs w:val="18"/>
                      <w:vertAlign w:val="baseline"/>
                      <w14:textFill>
                        <w14:solidFill>
                          <w14:schemeClr w14:val="tx1"/>
                        </w14:solidFill>
                      </w14:textFill>
                    </w:rPr>
                  </w:pPr>
                </w:p>
              </w:tc>
              <w:tc>
                <w:tcPr>
                  <w:tcW w:w="2261" w:type="dxa"/>
                  <w:vAlign w:val="center"/>
                </w:tcPr>
                <w:p w14:paraId="205CEF65">
                  <w:pPr>
                    <w:spacing w:line="360" w:lineRule="auto"/>
                    <w:jc w:val="center"/>
                    <w:rPr>
                      <w:rFonts w:hint="default" w:cs="Times New Roman"/>
                      <w:kern w:val="2"/>
                      <w:sz w:val="18"/>
                      <w:szCs w:val="18"/>
                      <w:lang w:val="en-US" w:eastAsia="zh-CN" w:bidi="ar-SA"/>
                    </w:rPr>
                  </w:pPr>
                  <w:r>
                    <w:rPr>
                      <w:rFonts w:hint="eastAsia" w:cs="Times New Roman"/>
                      <w:kern w:val="2"/>
                      <w:sz w:val="18"/>
                      <w:szCs w:val="18"/>
                      <w:lang w:val="en-US" w:eastAsia="zh-CN" w:bidi="ar-SA"/>
                    </w:rPr>
                    <w:t>2507Y081-气-002-103</w:t>
                  </w:r>
                </w:p>
              </w:tc>
              <w:tc>
                <w:tcPr>
                  <w:tcW w:w="825" w:type="dxa"/>
                  <w:shd w:val="clear" w:color="auto" w:fill="auto"/>
                  <w:vAlign w:val="center"/>
                </w:tcPr>
                <w:p w14:paraId="47B3B46D">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14:38</w:t>
                  </w:r>
                </w:p>
              </w:tc>
              <w:tc>
                <w:tcPr>
                  <w:tcW w:w="1044" w:type="dxa"/>
                  <w:vMerge w:val="continue"/>
                </w:tcPr>
                <w:p w14:paraId="6572ADD7">
                  <w:pPr>
                    <w:spacing w:line="360" w:lineRule="auto"/>
                    <w:jc w:val="center"/>
                    <w:rPr>
                      <w:rFonts w:hint="eastAsia" w:ascii="宋体" w:hAnsi="宋体" w:eastAsia="宋体" w:cs="宋体"/>
                      <w:b w:val="0"/>
                      <w:bCs/>
                      <w:color w:val="000000" w:themeColor="text1"/>
                      <w:spacing w:val="-2"/>
                      <w:sz w:val="18"/>
                      <w:szCs w:val="18"/>
                      <w:vertAlign w:val="baseline"/>
                      <w14:textFill>
                        <w14:solidFill>
                          <w14:schemeClr w14:val="tx1"/>
                        </w14:solidFill>
                      </w14:textFill>
                    </w:rPr>
                  </w:pPr>
                </w:p>
              </w:tc>
              <w:tc>
                <w:tcPr>
                  <w:tcW w:w="1079" w:type="dxa"/>
                  <w:vAlign w:val="center"/>
                </w:tcPr>
                <w:p w14:paraId="3C661F76">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229</w:t>
                  </w:r>
                </w:p>
              </w:tc>
              <w:tc>
                <w:tcPr>
                  <w:tcW w:w="1104" w:type="dxa"/>
                  <w:vMerge w:val="continue"/>
                  <w:vAlign w:val="center"/>
                </w:tcPr>
                <w:p w14:paraId="66224EED">
                  <w:pPr>
                    <w:spacing w:line="360" w:lineRule="auto"/>
                    <w:jc w:val="center"/>
                    <w:rPr>
                      <w:rFonts w:hint="eastAsia" w:ascii="宋体" w:hAnsi="宋体" w:eastAsia="宋体" w:cs="宋体"/>
                      <w:b w:val="0"/>
                      <w:bCs/>
                      <w:color w:val="000000" w:themeColor="text1"/>
                      <w:spacing w:val="-2"/>
                      <w:sz w:val="18"/>
                      <w:szCs w:val="18"/>
                      <w:vertAlign w:val="baseline"/>
                      <w14:textFill>
                        <w14:solidFill>
                          <w14:schemeClr w14:val="tx1"/>
                        </w14:solidFill>
                      </w14:textFill>
                    </w:rPr>
                  </w:pPr>
                </w:p>
              </w:tc>
              <w:tc>
                <w:tcPr>
                  <w:tcW w:w="1104" w:type="dxa"/>
                  <w:vMerge w:val="continue"/>
                  <w:vAlign w:val="center"/>
                </w:tcPr>
                <w:p w14:paraId="618DCAFA">
                  <w:pPr>
                    <w:spacing w:line="360" w:lineRule="auto"/>
                    <w:jc w:val="center"/>
                    <w:rPr>
                      <w:rFonts w:hint="eastAsia" w:ascii="宋体" w:hAnsi="宋体" w:eastAsia="宋体" w:cs="宋体"/>
                      <w:b w:val="0"/>
                      <w:bCs/>
                      <w:color w:val="000000" w:themeColor="text1"/>
                      <w:spacing w:val="-2"/>
                      <w:sz w:val="18"/>
                      <w:szCs w:val="18"/>
                      <w:vertAlign w:val="baseline"/>
                      <w14:textFill>
                        <w14:solidFill>
                          <w14:schemeClr w14:val="tx1"/>
                        </w14:solidFill>
                      </w14:textFill>
                    </w:rPr>
                  </w:pPr>
                </w:p>
              </w:tc>
            </w:tr>
          </w:tbl>
          <w:p w14:paraId="1F9A1A2B">
            <w:pPr>
              <w:jc w:val="center"/>
              <w:rPr>
                <w:sz w:val="18"/>
                <w:szCs w:val="18"/>
              </w:rPr>
            </w:pPr>
          </w:p>
          <w:p w14:paraId="0CAD248F">
            <w:pPr>
              <w:spacing w:line="360" w:lineRule="auto"/>
              <w:jc w:val="center"/>
              <w:rPr>
                <w:rFonts w:hint="default" w:ascii="Times New Roman" w:hAnsi="Times New Roman" w:eastAsia="宋体" w:cs="Times New Roman"/>
                <w:b/>
                <w:spacing w:val="-2"/>
                <w:sz w:val="18"/>
                <w:szCs w:val="18"/>
                <w:vertAlign w:val="baseline"/>
              </w:rPr>
            </w:pPr>
          </w:p>
        </w:tc>
      </w:tr>
    </w:tbl>
    <w:p w14:paraId="79DD2EDE">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default" w:ascii="宋体" w:hAnsi="宋体" w:eastAsia="宋体" w:cs="宋体"/>
          <w:b w:val="0"/>
          <w:bCs/>
          <w:sz w:val="24"/>
          <w:szCs w:val="24"/>
          <w:lang w:val="en-US" w:eastAsia="zh-CN"/>
        </w:rPr>
      </w:pPr>
    </w:p>
    <w:p w14:paraId="7BD0A711">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default"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表9-3厂界</w:t>
      </w:r>
      <w:r>
        <w:rPr>
          <w:rFonts w:hint="default" w:ascii="宋体" w:hAnsi="宋体" w:eastAsia="宋体" w:cs="宋体"/>
          <w:b w:val="0"/>
          <w:bCs/>
          <w:kern w:val="2"/>
          <w:sz w:val="24"/>
          <w:szCs w:val="24"/>
          <w:lang w:val="en-US" w:eastAsia="zh-CN" w:bidi="ar-SA"/>
        </w:rPr>
        <w:t>无组织废气检测结果</w:t>
      </w:r>
    </w:p>
    <w:tbl>
      <w:tblPr>
        <w:tblStyle w:val="14"/>
        <w:tblW w:w="50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1321"/>
        <w:gridCol w:w="1293"/>
        <w:gridCol w:w="1343"/>
        <w:gridCol w:w="1195"/>
        <w:gridCol w:w="1195"/>
        <w:gridCol w:w="1195"/>
      </w:tblGrid>
      <w:tr w14:paraId="43D8D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4" w:hRule="atLeast"/>
          <w:jc w:val="center"/>
        </w:trPr>
        <w:tc>
          <w:tcPr>
            <w:tcW w:w="1015" w:type="dxa"/>
            <w:vMerge w:val="restart"/>
            <w:vAlign w:val="center"/>
          </w:tcPr>
          <w:p w14:paraId="0108C9D3">
            <w:pPr>
              <w:jc w:val="center"/>
              <w:rPr>
                <w:rFonts w:hint="eastAsia" w:ascii="宋体" w:hAnsi="宋体" w:eastAsia="宋体" w:cs="宋体"/>
                <w:b/>
                <w:sz w:val="18"/>
                <w:szCs w:val="18"/>
              </w:rPr>
            </w:pPr>
            <w:r>
              <w:rPr>
                <w:rFonts w:hint="eastAsia" w:ascii="宋体" w:hAnsi="宋体" w:eastAsia="宋体" w:cs="宋体"/>
                <w:b/>
                <w:sz w:val="18"/>
                <w:szCs w:val="18"/>
              </w:rPr>
              <w:t>采样点位</w:t>
            </w:r>
          </w:p>
        </w:tc>
        <w:tc>
          <w:tcPr>
            <w:tcW w:w="1321" w:type="dxa"/>
            <w:vMerge w:val="restart"/>
            <w:vAlign w:val="center"/>
          </w:tcPr>
          <w:p w14:paraId="1C5E6D55">
            <w:pPr>
              <w:jc w:val="center"/>
              <w:rPr>
                <w:rFonts w:hint="eastAsia" w:ascii="宋体" w:hAnsi="宋体" w:eastAsia="宋体" w:cs="宋体"/>
                <w:b/>
                <w:sz w:val="18"/>
                <w:szCs w:val="18"/>
              </w:rPr>
            </w:pPr>
            <w:r>
              <w:rPr>
                <w:rFonts w:hint="eastAsia" w:ascii="宋体" w:hAnsi="宋体" w:eastAsia="宋体" w:cs="宋体"/>
                <w:b/>
                <w:sz w:val="18"/>
                <w:szCs w:val="18"/>
              </w:rPr>
              <w:t>检测项目</w:t>
            </w:r>
          </w:p>
        </w:tc>
        <w:tc>
          <w:tcPr>
            <w:tcW w:w="1293" w:type="dxa"/>
            <w:vMerge w:val="restart"/>
            <w:vAlign w:val="center"/>
          </w:tcPr>
          <w:p w14:paraId="297C23A4">
            <w:pPr>
              <w:jc w:val="center"/>
              <w:rPr>
                <w:rFonts w:hint="eastAsia" w:ascii="宋体" w:hAnsi="宋体" w:eastAsia="宋体" w:cs="宋体"/>
                <w:b/>
                <w:sz w:val="18"/>
                <w:szCs w:val="18"/>
              </w:rPr>
            </w:pPr>
            <w:r>
              <w:rPr>
                <w:rFonts w:hint="eastAsia" w:ascii="宋体" w:hAnsi="宋体" w:eastAsia="宋体" w:cs="宋体"/>
                <w:b/>
                <w:sz w:val="18"/>
                <w:szCs w:val="18"/>
              </w:rPr>
              <w:t>样品性状</w:t>
            </w:r>
          </w:p>
        </w:tc>
        <w:tc>
          <w:tcPr>
            <w:tcW w:w="1343" w:type="dxa"/>
            <w:vMerge w:val="restart"/>
            <w:vAlign w:val="center"/>
          </w:tcPr>
          <w:p w14:paraId="6A5A4778">
            <w:pPr>
              <w:jc w:val="center"/>
              <w:rPr>
                <w:rFonts w:hint="eastAsia" w:ascii="宋体" w:hAnsi="宋体" w:eastAsia="宋体" w:cs="宋体"/>
                <w:spacing w:val="-2"/>
                <w:sz w:val="18"/>
                <w:szCs w:val="18"/>
              </w:rPr>
            </w:pPr>
            <w:r>
              <w:rPr>
                <w:rFonts w:hint="eastAsia" w:ascii="宋体" w:hAnsi="宋体" w:eastAsia="宋体" w:cs="宋体"/>
                <w:b/>
                <w:sz w:val="18"/>
                <w:szCs w:val="18"/>
              </w:rPr>
              <w:t>采样频次</w:t>
            </w:r>
          </w:p>
        </w:tc>
        <w:tc>
          <w:tcPr>
            <w:tcW w:w="2390" w:type="dxa"/>
            <w:gridSpan w:val="2"/>
            <w:vAlign w:val="center"/>
          </w:tcPr>
          <w:p w14:paraId="3A7A611B">
            <w:pPr>
              <w:jc w:val="center"/>
              <w:rPr>
                <w:rFonts w:hint="eastAsia" w:ascii="宋体" w:hAnsi="宋体" w:eastAsia="宋体" w:cs="宋体"/>
                <w:b/>
                <w:sz w:val="18"/>
                <w:szCs w:val="18"/>
              </w:rPr>
            </w:pPr>
            <w:r>
              <w:rPr>
                <w:rFonts w:hint="eastAsia" w:ascii="宋体" w:hAnsi="宋体" w:eastAsia="宋体" w:cs="宋体"/>
                <w:b/>
                <w:sz w:val="18"/>
                <w:szCs w:val="18"/>
              </w:rPr>
              <w:t>检测结果（</w:t>
            </w:r>
            <w:r>
              <w:rPr>
                <w:rFonts w:hint="eastAsia" w:ascii="宋体" w:hAnsi="宋体" w:eastAsia="宋体" w:cs="宋体"/>
                <w:b/>
                <w:spacing w:val="-2"/>
                <w:sz w:val="18"/>
                <w:szCs w:val="18"/>
              </w:rPr>
              <w:t>mg/m</w:t>
            </w:r>
            <w:r>
              <w:rPr>
                <w:rFonts w:hint="eastAsia" w:ascii="宋体" w:hAnsi="宋体" w:eastAsia="宋体" w:cs="宋体"/>
                <w:b/>
                <w:spacing w:val="-2"/>
                <w:sz w:val="18"/>
                <w:szCs w:val="18"/>
                <w:vertAlign w:val="superscript"/>
              </w:rPr>
              <w:t>3</w:t>
            </w:r>
            <w:r>
              <w:rPr>
                <w:rFonts w:hint="eastAsia" w:ascii="宋体" w:hAnsi="宋体" w:eastAsia="宋体" w:cs="宋体"/>
                <w:b/>
                <w:sz w:val="18"/>
                <w:szCs w:val="18"/>
              </w:rPr>
              <w:t>）</w:t>
            </w:r>
          </w:p>
        </w:tc>
        <w:tc>
          <w:tcPr>
            <w:tcW w:w="1195" w:type="dxa"/>
            <w:vMerge w:val="restart"/>
            <w:vAlign w:val="center"/>
          </w:tcPr>
          <w:p w14:paraId="6A093C68">
            <w:pPr>
              <w:jc w:val="center"/>
              <w:rPr>
                <w:rFonts w:hint="eastAsia" w:ascii="宋体" w:hAnsi="宋体" w:eastAsia="宋体" w:cs="宋体"/>
                <w:b/>
                <w:sz w:val="18"/>
                <w:szCs w:val="18"/>
                <w:lang w:val="en-US" w:eastAsia="zh-CN"/>
              </w:rPr>
            </w:pPr>
            <w:r>
              <w:rPr>
                <w:rFonts w:hint="eastAsia" w:ascii="宋体" w:hAnsi="宋体" w:eastAsia="宋体" w:cs="宋体"/>
                <w:b/>
                <w:sz w:val="18"/>
                <w:szCs w:val="18"/>
                <w:lang w:val="en-US" w:eastAsia="zh-CN"/>
              </w:rPr>
              <w:t>限值</w:t>
            </w:r>
          </w:p>
        </w:tc>
      </w:tr>
      <w:tr w14:paraId="05505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4" w:hRule="atLeast"/>
          <w:jc w:val="center"/>
        </w:trPr>
        <w:tc>
          <w:tcPr>
            <w:tcW w:w="1015" w:type="dxa"/>
            <w:vMerge w:val="continue"/>
            <w:vAlign w:val="center"/>
          </w:tcPr>
          <w:p w14:paraId="09590CC6">
            <w:pPr>
              <w:jc w:val="center"/>
              <w:rPr>
                <w:rFonts w:hint="eastAsia" w:ascii="宋体" w:hAnsi="宋体" w:eastAsia="宋体" w:cs="宋体"/>
                <w:b/>
                <w:sz w:val="18"/>
                <w:szCs w:val="18"/>
              </w:rPr>
            </w:pPr>
          </w:p>
        </w:tc>
        <w:tc>
          <w:tcPr>
            <w:tcW w:w="1321" w:type="dxa"/>
            <w:vMerge w:val="continue"/>
            <w:vAlign w:val="center"/>
          </w:tcPr>
          <w:p w14:paraId="0A9B8E45">
            <w:pPr>
              <w:jc w:val="center"/>
              <w:rPr>
                <w:rFonts w:hint="eastAsia" w:ascii="宋体" w:hAnsi="宋体" w:eastAsia="宋体" w:cs="宋体"/>
                <w:b/>
                <w:sz w:val="18"/>
                <w:szCs w:val="18"/>
              </w:rPr>
            </w:pPr>
          </w:p>
        </w:tc>
        <w:tc>
          <w:tcPr>
            <w:tcW w:w="1293" w:type="dxa"/>
            <w:vMerge w:val="continue"/>
            <w:vAlign w:val="center"/>
          </w:tcPr>
          <w:p w14:paraId="23415099">
            <w:pPr>
              <w:jc w:val="center"/>
              <w:rPr>
                <w:rFonts w:hint="eastAsia" w:ascii="宋体" w:hAnsi="宋体" w:eastAsia="宋体" w:cs="宋体"/>
                <w:b/>
                <w:sz w:val="18"/>
                <w:szCs w:val="18"/>
              </w:rPr>
            </w:pPr>
          </w:p>
        </w:tc>
        <w:tc>
          <w:tcPr>
            <w:tcW w:w="1343" w:type="dxa"/>
            <w:vMerge w:val="continue"/>
            <w:vAlign w:val="center"/>
          </w:tcPr>
          <w:p w14:paraId="333B7C10">
            <w:pPr>
              <w:jc w:val="center"/>
              <w:rPr>
                <w:rFonts w:hint="eastAsia" w:ascii="宋体" w:hAnsi="宋体" w:eastAsia="宋体" w:cs="宋体"/>
                <w:b/>
                <w:sz w:val="18"/>
                <w:szCs w:val="18"/>
              </w:rPr>
            </w:pPr>
          </w:p>
        </w:tc>
        <w:tc>
          <w:tcPr>
            <w:tcW w:w="1195" w:type="dxa"/>
            <w:vAlign w:val="center"/>
          </w:tcPr>
          <w:p w14:paraId="338A249C">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2025.06.30</w:t>
            </w:r>
          </w:p>
        </w:tc>
        <w:tc>
          <w:tcPr>
            <w:tcW w:w="1195" w:type="dxa"/>
            <w:vAlign w:val="center"/>
          </w:tcPr>
          <w:p w14:paraId="42876897">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2025.07.01</w:t>
            </w:r>
          </w:p>
        </w:tc>
        <w:tc>
          <w:tcPr>
            <w:tcW w:w="1195" w:type="dxa"/>
            <w:vMerge w:val="continue"/>
            <w:vAlign w:val="center"/>
          </w:tcPr>
          <w:p w14:paraId="3EEF4B12">
            <w:pPr>
              <w:jc w:val="center"/>
              <w:rPr>
                <w:rFonts w:hint="eastAsia" w:ascii="宋体" w:hAnsi="宋体" w:eastAsia="宋体" w:cs="宋体"/>
                <w:sz w:val="18"/>
                <w:szCs w:val="18"/>
                <w:lang w:val="en-US" w:eastAsia="zh-CN"/>
              </w:rPr>
            </w:pPr>
          </w:p>
        </w:tc>
      </w:tr>
      <w:tr w14:paraId="5E1E2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15" w:type="dxa"/>
            <w:vMerge w:val="restart"/>
            <w:vAlign w:val="center"/>
          </w:tcPr>
          <w:p w14:paraId="16DC69EE">
            <w:pPr>
              <w:jc w:val="center"/>
              <w:rPr>
                <w:rFonts w:hint="eastAsia" w:ascii="宋体" w:hAnsi="宋体" w:eastAsia="宋体" w:cs="宋体"/>
                <w:sz w:val="18"/>
                <w:szCs w:val="18"/>
              </w:rPr>
            </w:pPr>
            <w:r>
              <w:rPr>
                <w:rFonts w:hint="eastAsia" w:ascii="宋体" w:hAnsi="宋体" w:eastAsia="宋体" w:cs="宋体"/>
                <w:sz w:val="18"/>
                <w:szCs w:val="18"/>
              </w:rPr>
              <w:t>上风向1#</w:t>
            </w:r>
          </w:p>
        </w:tc>
        <w:tc>
          <w:tcPr>
            <w:tcW w:w="1321" w:type="dxa"/>
            <w:vMerge w:val="restart"/>
            <w:shd w:val="clear" w:color="auto" w:fill="auto"/>
            <w:vAlign w:val="center"/>
          </w:tcPr>
          <w:p w14:paraId="19D6A7EA">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非甲烷总烃</w:t>
            </w:r>
          </w:p>
          <w:p w14:paraId="32288DA7">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（以碳计）</w:t>
            </w:r>
          </w:p>
        </w:tc>
        <w:tc>
          <w:tcPr>
            <w:tcW w:w="1293" w:type="dxa"/>
            <w:vMerge w:val="restart"/>
            <w:shd w:val="clear" w:color="auto" w:fill="auto"/>
            <w:vAlign w:val="center"/>
          </w:tcPr>
          <w:p w14:paraId="38B9F5DC">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气袋</w:t>
            </w:r>
          </w:p>
        </w:tc>
        <w:tc>
          <w:tcPr>
            <w:tcW w:w="1343" w:type="dxa"/>
            <w:vAlign w:val="center"/>
          </w:tcPr>
          <w:p w14:paraId="3E2F5248">
            <w:pPr>
              <w:jc w:val="center"/>
              <w:rPr>
                <w:rFonts w:hint="eastAsia" w:ascii="宋体" w:hAnsi="宋体" w:eastAsia="宋体" w:cs="宋体"/>
                <w:sz w:val="18"/>
                <w:szCs w:val="18"/>
              </w:rPr>
            </w:pPr>
            <w:r>
              <w:rPr>
                <w:rFonts w:hint="eastAsia" w:ascii="宋体" w:hAnsi="宋体" w:eastAsia="宋体" w:cs="宋体"/>
                <w:sz w:val="18"/>
                <w:szCs w:val="18"/>
              </w:rPr>
              <w:t>第一次</w:t>
            </w:r>
          </w:p>
        </w:tc>
        <w:tc>
          <w:tcPr>
            <w:tcW w:w="1195" w:type="dxa"/>
            <w:vAlign w:val="center"/>
          </w:tcPr>
          <w:p w14:paraId="78A4A9B7">
            <w:pPr>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1.01</w:t>
            </w:r>
          </w:p>
        </w:tc>
        <w:tc>
          <w:tcPr>
            <w:tcW w:w="1195" w:type="dxa"/>
            <w:vAlign w:val="center"/>
          </w:tcPr>
          <w:p w14:paraId="4EAE0A82">
            <w:pPr>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1.03</w:t>
            </w:r>
          </w:p>
        </w:tc>
        <w:tc>
          <w:tcPr>
            <w:tcW w:w="1195" w:type="dxa"/>
            <w:vMerge w:val="restart"/>
            <w:vAlign w:val="center"/>
          </w:tcPr>
          <w:p w14:paraId="48EA1D88">
            <w:pPr>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4.0</w:t>
            </w:r>
          </w:p>
        </w:tc>
      </w:tr>
      <w:tr w14:paraId="00649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15" w:type="dxa"/>
            <w:vMerge w:val="continue"/>
            <w:vAlign w:val="center"/>
          </w:tcPr>
          <w:p w14:paraId="2D99C598">
            <w:pPr>
              <w:jc w:val="center"/>
              <w:rPr>
                <w:rFonts w:hint="eastAsia" w:ascii="宋体" w:hAnsi="宋体" w:eastAsia="宋体" w:cs="宋体"/>
                <w:sz w:val="18"/>
                <w:szCs w:val="18"/>
              </w:rPr>
            </w:pPr>
          </w:p>
        </w:tc>
        <w:tc>
          <w:tcPr>
            <w:tcW w:w="1321" w:type="dxa"/>
            <w:vMerge w:val="continue"/>
            <w:vAlign w:val="center"/>
          </w:tcPr>
          <w:p w14:paraId="5C9A1801">
            <w:pPr>
              <w:jc w:val="center"/>
              <w:rPr>
                <w:rFonts w:hint="eastAsia" w:ascii="宋体" w:hAnsi="宋体" w:eastAsia="宋体" w:cs="宋体"/>
                <w:sz w:val="18"/>
                <w:szCs w:val="18"/>
              </w:rPr>
            </w:pPr>
          </w:p>
        </w:tc>
        <w:tc>
          <w:tcPr>
            <w:tcW w:w="1293" w:type="dxa"/>
            <w:vMerge w:val="continue"/>
            <w:vAlign w:val="center"/>
          </w:tcPr>
          <w:p w14:paraId="46A54E0A">
            <w:pPr>
              <w:jc w:val="center"/>
              <w:rPr>
                <w:rFonts w:hint="eastAsia" w:ascii="宋体" w:hAnsi="宋体" w:eastAsia="宋体" w:cs="宋体"/>
                <w:sz w:val="18"/>
                <w:szCs w:val="18"/>
              </w:rPr>
            </w:pPr>
          </w:p>
        </w:tc>
        <w:tc>
          <w:tcPr>
            <w:tcW w:w="1343" w:type="dxa"/>
            <w:vAlign w:val="center"/>
          </w:tcPr>
          <w:p w14:paraId="5E77EDB8">
            <w:pPr>
              <w:widowControl/>
              <w:jc w:val="center"/>
              <w:rPr>
                <w:rFonts w:hint="eastAsia" w:ascii="宋体" w:hAnsi="宋体" w:eastAsia="宋体" w:cs="宋体"/>
                <w:sz w:val="18"/>
                <w:szCs w:val="18"/>
              </w:rPr>
            </w:pPr>
            <w:r>
              <w:rPr>
                <w:rFonts w:hint="eastAsia" w:ascii="宋体" w:hAnsi="宋体" w:eastAsia="宋体" w:cs="宋体"/>
                <w:sz w:val="18"/>
                <w:szCs w:val="18"/>
              </w:rPr>
              <w:t>第二次</w:t>
            </w:r>
          </w:p>
        </w:tc>
        <w:tc>
          <w:tcPr>
            <w:tcW w:w="1195" w:type="dxa"/>
            <w:vAlign w:val="center"/>
          </w:tcPr>
          <w:p w14:paraId="08470678">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1.01</w:t>
            </w:r>
          </w:p>
        </w:tc>
        <w:tc>
          <w:tcPr>
            <w:tcW w:w="1195" w:type="dxa"/>
            <w:vAlign w:val="center"/>
          </w:tcPr>
          <w:p w14:paraId="01052384">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1.05</w:t>
            </w:r>
          </w:p>
        </w:tc>
        <w:tc>
          <w:tcPr>
            <w:tcW w:w="1195" w:type="dxa"/>
            <w:vMerge w:val="continue"/>
            <w:vAlign w:val="center"/>
          </w:tcPr>
          <w:p w14:paraId="7484A9AD">
            <w:pPr>
              <w:jc w:val="center"/>
              <w:rPr>
                <w:rFonts w:hint="eastAsia" w:ascii="宋体" w:hAnsi="宋体" w:eastAsia="宋体" w:cs="宋体"/>
                <w:sz w:val="18"/>
                <w:szCs w:val="18"/>
                <w:lang w:val="en-US" w:eastAsia="zh-CN"/>
              </w:rPr>
            </w:pPr>
          </w:p>
        </w:tc>
      </w:tr>
      <w:tr w14:paraId="4CEA0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15" w:type="dxa"/>
            <w:vMerge w:val="continue"/>
            <w:vAlign w:val="center"/>
          </w:tcPr>
          <w:p w14:paraId="3E5E3B4F">
            <w:pPr>
              <w:jc w:val="center"/>
              <w:rPr>
                <w:rFonts w:hint="eastAsia" w:ascii="宋体" w:hAnsi="宋体" w:eastAsia="宋体" w:cs="宋体"/>
                <w:sz w:val="18"/>
                <w:szCs w:val="18"/>
              </w:rPr>
            </w:pPr>
          </w:p>
        </w:tc>
        <w:tc>
          <w:tcPr>
            <w:tcW w:w="1321" w:type="dxa"/>
            <w:vMerge w:val="continue"/>
            <w:vAlign w:val="center"/>
          </w:tcPr>
          <w:p w14:paraId="2F9C6FD1">
            <w:pPr>
              <w:jc w:val="center"/>
              <w:rPr>
                <w:rFonts w:hint="eastAsia" w:ascii="宋体" w:hAnsi="宋体" w:eastAsia="宋体" w:cs="宋体"/>
                <w:sz w:val="18"/>
                <w:szCs w:val="18"/>
              </w:rPr>
            </w:pPr>
          </w:p>
        </w:tc>
        <w:tc>
          <w:tcPr>
            <w:tcW w:w="1293" w:type="dxa"/>
            <w:vMerge w:val="continue"/>
            <w:vAlign w:val="center"/>
          </w:tcPr>
          <w:p w14:paraId="01BCA0BB">
            <w:pPr>
              <w:jc w:val="center"/>
              <w:rPr>
                <w:rFonts w:hint="eastAsia" w:ascii="宋体" w:hAnsi="宋体" w:eastAsia="宋体" w:cs="宋体"/>
                <w:sz w:val="18"/>
                <w:szCs w:val="18"/>
              </w:rPr>
            </w:pPr>
          </w:p>
        </w:tc>
        <w:tc>
          <w:tcPr>
            <w:tcW w:w="1343" w:type="dxa"/>
            <w:vAlign w:val="center"/>
          </w:tcPr>
          <w:p w14:paraId="4049B228">
            <w:pPr>
              <w:widowControl/>
              <w:jc w:val="center"/>
              <w:rPr>
                <w:rFonts w:hint="eastAsia" w:ascii="宋体" w:hAnsi="宋体" w:eastAsia="宋体" w:cs="宋体"/>
                <w:sz w:val="18"/>
                <w:szCs w:val="18"/>
              </w:rPr>
            </w:pPr>
            <w:r>
              <w:rPr>
                <w:rFonts w:hint="eastAsia" w:ascii="宋体" w:hAnsi="宋体" w:eastAsia="宋体" w:cs="宋体"/>
                <w:sz w:val="18"/>
                <w:szCs w:val="18"/>
              </w:rPr>
              <w:t>第三次</w:t>
            </w:r>
          </w:p>
        </w:tc>
        <w:tc>
          <w:tcPr>
            <w:tcW w:w="1195" w:type="dxa"/>
            <w:vAlign w:val="center"/>
          </w:tcPr>
          <w:p w14:paraId="4577D473">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1.05</w:t>
            </w:r>
          </w:p>
        </w:tc>
        <w:tc>
          <w:tcPr>
            <w:tcW w:w="1195" w:type="dxa"/>
            <w:vAlign w:val="center"/>
          </w:tcPr>
          <w:p w14:paraId="73338624">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1.01</w:t>
            </w:r>
          </w:p>
        </w:tc>
        <w:tc>
          <w:tcPr>
            <w:tcW w:w="1195" w:type="dxa"/>
            <w:vMerge w:val="continue"/>
            <w:vAlign w:val="center"/>
          </w:tcPr>
          <w:p w14:paraId="02FFF04C">
            <w:pPr>
              <w:jc w:val="center"/>
              <w:rPr>
                <w:rFonts w:hint="eastAsia" w:ascii="宋体" w:hAnsi="宋体" w:eastAsia="宋体" w:cs="宋体"/>
                <w:sz w:val="18"/>
                <w:szCs w:val="18"/>
                <w:lang w:val="en-US" w:eastAsia="zh-CN"/>
              </w:rPr>
            </w:pPr>
          </w:p>
        </w:tc>
      </w:tr>
      <w:tr w14:paraId="3BF54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15" w:type="dxa"/>
            <w:vMerge w:val="continue"/>
            <w:vAlign w:val="center"/>
          </w:tcPr>
          <w:p w14:paraId="4EBA677B">
            <w:pPr>
              <w:jc w:val="center"/>
              <w:rPr>
                <w:rFonts w:hint="eastAsia" w:ascii="宋体" w:hAnsi="宋体" w:eastAsia="宋体" w:cs="宋体"/>
                <w:sz w:val="18"/>
                <w:szCs w:val="18"/>
              </w:rPr>
            </w:pPr>
          </w:p>
        </w:tc>
        <w:tc>
          <w:tcPr>
            <w:tcW w:w="1321" w:type="dxa"/>
            <w:vMerge w:val="continue"/>
            <w:vAlign w:val="center"/>
          </w:tcPr>
          <w:p w14:paraId="1E658DE5">
            <w:pPr>
              <w:jc w:val="center"/>
              <w:rPr>
                <w:rFonts w:hint="eastAsia" w:ascii="宋体" w:hAnsi="宋体" w:eastAsia="宋体" w:cs="宋体"/>
                <w:sz w:val="18"/>
                <w:szCs w:val="18"/>
              </w:rPr>
            </w:pPr>
          </w:p>
        </w:tc>
        <w:tc>
          <w:tcPr>
            <w:tcW w:w="1293" w:type="dxa"/>
            <w:vMerge w:val="continue"/>
            <w:vAlign w:val="center"/>
          </w:tcPr>
          <w:p w14:paraId="11559FBD">
            <w:pPr>
              <w:jc w:val="center"/>
              <w:rPr>
                <w:rFonts w:hint="eastAsia" w:ascii="宋体" w:hAnsi="宋体" w:eastAsia="宋体" w:cs="宋体"/>
                <w:sz w:val="18"/>
                <w:szCs w:val="18"/>
              </w:rPr>
            </w:pPr>
          </w:p>
        </w:tc>
        <w:tc>
          <w:tcPr>
            <w:tcW w:w="1343" w:type="dxa"/>
            <w:vAlign w:val="center"/>
          </w:tcPr>
          <w:p w14:paraId="4832E553">
            <w:pPr>
              <w:widowControl/>
              <w:jc w:val="center"/>
              <w:rPr>
                <w:rFonts w:hint="eastAsia" w:ascii="宋体" w:hAnsi="宋体" w:eastAsia="宋体" w:cs="宋体"/>
                <w:sz w:val="18"/>
                <w:szCs w:val="18"/>
              </w:rPr>
            </w:pPr>
            <w:r>
              <w:rPr>
                <w:rFonts w:hint="eastAsia" w:ascii="宋体" w:hAnsi="宋体" w:eastAsia="宋体" w:cs="宋体"/>
                <w:sz w:val="18"/>
                <w:szCs w:val="18"/>
                <w:lang w:val="en-US" w:eastAsia="zh-CN"/>
              </w:rPr>
              <w:t>第四次</w:t>
            </w:r>
          </w:p>
        </w:tc>
        <w:tc>
          <w:tcPr>
            <w:tcW w:w="1195" w:type="dxa"/>
            <w:vAlign w:val="center"/>
          </w:tcPr>
          <w:p w14:paraId="2D15EAA8">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1.08</w:t>
            </w:r>
          </w:p>
        </w:tc>
        <w:tc>
          <w:tcPr>
            <w:tcW w:w="1195" w:type="dxa"/>
            <w:vAlign w:val="center"/>
          </w:tcPr>
          <w:p w14:paraId="51246EE0">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1.08</w:t>
            </w:r>
          </w:p>
        </w:tc>
        <w:tc>
          <w:tcPr>
            <w:tcW w:w="1195" w:type="dxa"/>
            <w:vMerge w:val="continue"/>
            <w:vAlign w:val="center"/>
          </w:tcPr>
          <w:p w14:paraId="7E9E2C2E">
            <w:pPr>
              <w:jc w:val="center"/>
              <w:rPr>
                <w:rFonts w:hint="eastAsia" w:ascii="宋体" w:hAnsi="宋体" w:eastAsia="宋体" w:cs="宋体"/>
                <w:sz w:val="18"/>
                <w:szCs w:val="18"/>
                <w:lang w:val="en-US" w:eastAsia="zh-CN"/>
              </w:rPr>
            </w:pPr>
          </w:p>
        </w:tc>
      </w:tr>
      <w:tr w14:paraId="4CFF6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15" w:type="dxa"/>
            <w:vMerge w:val="continue"/>
            <w:vAlign w:val="center"/>
          </w:tcPr>
          <w:p w14:paraId="5127CA25">
            <w:pPr>
              <w:jc w:val="center"/>
              <w:rPr>
                <w:rFonts w:hint="eastAsia" w:ascii="宋体" w:hAnsi="宋体" w:eastAsia="宋体" w:cs="宋体"/>
                <w:sz w:val="18"/>
                <w:szCs w:val="18"/>
              </w:rPr>
            </w:pPr>
          </w:p>
        </w:tc>
        <w:tc>
          <w:tcPr>
            <w:tcW w:w="1321" w:type="dxa"/>
            <w:vMerge w:val="continue"/>
            <w:vAlign w:val="center"/>
          </w:tcPr>
          <w:p w14:paraId="25B8EA0D">
            <w:pPr>
              <w:jc w:val="center"/>
              <w:rPr>
                <w:rFonts w:hint="eastAsia" w:ascii="宋体" w:hAnsi="宋体" w:eastAsia="宋体" w:cs="宋体"/>
                <w:sz w:val="18"/>
                <w:szCs w:val="18"/>
              </w:rPr>
            </w:pPr>
          </w:p>
        </w:tc>
        <w:tc>
          <w:tcPr>
            <w:tcW w:w="1293" w:type="dxa"/>
            <w:vMerge w:val="continue"/>
            <w:vAlign w:val="center"/>
          </w:tcPr>
          <w:p w14:paraId="2136DD03">
            <w:pPr>
              <w:jc w:val="center"/>
              <w:rPr>
                <w:rFonts w:hint="eastAsia" w:ascii="宋体" w:hAnsi="宋体" w:eastAsia="宋体" w:cs="宋体"/>
                <w:sz w:val="18"/>
                <w:szCs w:val="18"/>
              </w:rPr>
            </w:pPr>
          </w:p>
        </w:tc>
        <w:tc>
          <w:tcPr>
            <w:tcW w:w="1343" w:type="dxa"/>
            <w:vAlign w:val="center"/>
          </w:tcPr>
          <w:p w14:paraId="6F965CF4">
            <w:pPr>
              <w:widowControl/>
              <w:jc w:val="center"/>
              <w:rPr>
                <w:rFonts w:hint="eastAsia" w:ascii="宋体" w:hAnsi="宋体" w:eastAsia="宋体" w:cs="宋体"/>
                <w:sz w:val="18"/>
                <w:szCs w:val="18"/>
              </w:rPr>
            </w:pPr>
            <w:r>
              <w:rPr>
                <w:rFonts w:hint="eastAsia" w:ascii="宋体" w:hAnsi="宋体" w:eastAsia="宋体" w:cs="宋体"/>
                <w:sz w:val="18"/>
                <w:szCs w:val="18"/>
              </w:rPr>
              <w:t>最高值</w:t>
            </w:r>
          </w:p>
        </w:tc>
        <w:tc>
          <w:tcPr>
            <w:tcW w:w="1195" w:type="dxa"/>
            <w:vAlign w:val="center"/>
          </w:tcPr>
          <w:p w14:paraId="46EDDE96">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1.08</w:t>
            </w:r>
          </w:p>
        </w:tc>
        <w:tc>
          <w:tcPr>
            <w:tcW w:w="1195" w:type="dxa"/>
            <w:vAlign w:val="center"/>
          </w:tcPr>
          <w:p w14:paraId="543F00A5">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1.08</w:t>
            </w:r>
          </w:p>
        </w:tc>
        <w:tc>
          <w:tcPr>
            <w:tcW w:w="1195" w:type="dxa"/>
            <w:vMerge w:val="continue"/>
            <w:vAlign w:val="center"/>
          </w:tcPr>
          <w:p w14:paraId="7AA2A0A3">
            <w:pPr>
              <w:jc w:val="center"/>
              <w:rPr>
                <w:rFonts w:hint="eastAsia" w:ascii="宋体" w:hAnsi="宋体" w:eastAsia="宋体" w:cs="宋体"/>
                <w:sz w:val="18"/>
                <w:szCs w:val="18"/>
                <w:lang w:val="en-US" w:eastAsia="zh-CN"/>
              </w:rPr>
            </w:pPr>
          </w:p>
        </w:tc>
      </w:tr>
      <w:tr w14:paraId="3B0B9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15" w:type="dxa"/>
            <w:vMerge w:val="continue"/>
            <w:vAlign w:val="center"/>
          </w:tcPr>
          <w:p w14:paraId="6977361A">
            <w:pPr>
              <w:jc w:val="center"/>
              <w:rPr>
                <w:rFonts w:hint="eastAsia" w:ascii="宋体" w:hAnsi="宋体" w:eastAsia="宋体" w:cs="宋体"/>
                <w:sz w:val="18"/>
                <w:szCs w:val="18"/>
              </w:rPr>
            </w:pPr>
          </w:p>
        </w:tc>
        <w:tc>
          <w:tcPr>
            <w:tcW w:w="1321" w:type="dxa"/>
            <w:vMerge w:val="restart"/>
            <w:shd w:val="clear" w:color="auto" w:fill="auto"/>
            <w:vAlign w:val="center"/>
          </w:tcPr>
          <w:p w14:paraId="30BF699F">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臭气浓度</w:t>
            </w:r>
          </w:p>
          <w:p w14:paraId="0F18A975">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（无量纲）</w:t>
            </w:r>
          </w:p>
        </w:tc>
        <w:tc>
          <w:tcPr>
            <w:tcW w:w="1293" w:type="dxa"/>
            <w:vMerge w:val="restart"/>
            <w:shd w:val="clear" w:color="auto" w:fill="auto"/>
            <w:vAlign w:val="center"/>
          </w:tcPr>
          <w:p w14:paraId="6270763B">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气瓶</w:t>
            </w:r>
          </w:p>
        </w:tc>
        <w:tc>
          <w:tcPr>
            <w:tcW w:w="1343" w:type="dxa"/>
            <w:shd w:val="clear" w:color="auto" w:fill="auto"/>
            <w:vAlign w:val="center"/>
          </w:tcPr>
          <w:p w14:paraId="2617AB41">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第一次</w:t>
            </w:r>
          </w:p>
        </w:tc>
        <w:tc>
          <w:tcPr>
            <w:tcW w:w="1195" w:type="dxa"/>
            <w:shd w:val="clear" w:color="auto" w:fill="auto"/>
            <w:vAlign w:val="center"/>
          </w:tcPr>
          <w:p w14:paraId="20B490F0">
            <w:pPr>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&lt;10</w:t>
            </w:r>
          </w:p>
        </w:tc>
        <w:tc>
          <w:tcPr>
            <w:tcW w:w="1195" w:type="dxa"/>
            <w:shd w:val="clear" w:color="auto" w:fill="auto"/>
            <w:vAlign w:val="center"/>
          </w:tcPr>
          <w:p w14:paraId="1C078EEF">
            <w:pPr>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&lt;10</w:t>
            </w:r>
          </w:p>
        </w:tc>
        <w:tc>
          <w:tcPr>
            <w:tcW w:w="1195" w:type="dxa"/>
            <w:vMerge w:val="restart"/>
            <w:shd w:val="clear" w:color="auto" w:fill="auto"/>
            <w:vAlign w:val="center"/>
          </w:tcPr>
          <w:p w14:paraId="112AC581">
            <w:pPr>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w:t>
            </w:r>
          </w:p>
        </w:tc>
      </w:tr>
      <w:tr w14:paraId="5BCEA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15" w:type="dxa"/>
            <w:vMerge w:val="continue"/>
            <w:vAlign w:val="center"/>
          </w:tcPr>
          <w:p w14:paraId="411D19D4">
            <w:pPr>
              <w:jc w:val="center"/>
              <w:rPr>
                <w:rFonts w:hint="eastAsia" w:ascii="宋体" w:hAnsi="宋体" w:eastAsia="宋体" w:cs="宋体"/>
                <w:sz w:val="18"/>
                <w:szCs w:val="18"/>
              </w:rPr>
            </w:pPr>
          </w:p>
        </w:tc>
        <w:tc>
          <w:tcPr>
            <w:tcW w:w="1321" w:type="dxa"/>
            <w:vMerge w:val="continue"/>
            <w:vAlign w:val="center"/>
          </w:tcPr>
          <w:p w14:paraId="393CAEAE">
            <w:pPr>
              <w:jc w:val="center"/>
              <w:rPr>
                <w:rFonts w:hint="eastAsia" w:ascii="宋体" w:hAnsi="宋体" w:eastAsia="宋体" w:cs="宋体"/>
                <w:sz w:val="18"/>
                <w:szCs w:val="18"/>
              </w:rPr>
            </w:pPr>
          </w:p>
        </w:tc>
        <w:tc>
          <w:tcPr>
            <w:tcW w:w="1293" w:type="dxa"/>
            <w:vMerge w:val="continue"/>
            <w:vAlign w:val="center"/>
          </w:tcPr>
          <w:p w14:paraId="2D694BB3">
            <w:pPr>
              <w:jc w:val="center"/>
              <w:rPr>
                <w:rFonts w:hint="eastAsia" w:ascii="宋体" w:hAnsi="宋体" w:eastAsia="宋体" w:cs="宋体"/>
                <w:sz w:val="18"/>
                <w:szCs w:val="18"/>
              </w:rPr>
            </w:pPr>
          </w:p>
        </w:tc>
        <w:tc>
          <w:tcPr>
            <w:tcW w:w="1343" w:type="dxa"/>
            <w:shd w:val="clear" w:color="auto" w:fill="auto"/>
            <w:vAlign w:val="center"/>
          </w:tcPr>
          <w:p w14:paraId="2AAED826">
            <w:pPr>
              <w:widowControl/>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第二次</w:t>
            </w:r>
          </w:p>
        </w:tc>
        <w:tc>
          <w:tcPr>
            <w:tcW w:w="1195" w:type="dxa"/>
            <w:vAlign w:val="center"/>
          </w:tcPr>
          <w:p w14:paraId="29A37803">
            <w:pPr>
              <w:jc w:val="center"/>
              <w:rPr>
                <w:rFonts w:hint="eastAsia" w:ascii="宋体" w:hAnsi="宋体" w:eastAsia="宋体" w:cs="宋体"/>
                <w:sz w:val="18"/>
                <w:szCs w:val="18"/>
                <w:lang w:val="en-US" w:eastAsia="zh-CN"/>
              </w:rPr>
            </w:pPr>
            <w:r>
              <w:rPr>
                <w:rFonts w:hint="eastAsia" w:ascii="宋体" w:hAnsi="宋体" w:eastAsia="宋体" w:cs="宋体"/>
                <w:color w:val="000000"/>
                <w:sz w:val="18"/>
                <w:szCs w:val="18"/>
                <w:lang w:val="en-US" w:eastAsia="zh-CN"/>
              </w:rPr>
              <w:t>&lt;10</w:t>
            </w:r>
          </w:p>
        </w:tc>
        <w:tc>
          <w:tcPr>
            <w:tcW w:w="1195" w:type="dxa"/>
            <w:vAlign w:val="center"/>
          </w:tcPr>
          <w:p w14:paraId="172A553C">
            <w:pPr>
              <w:jc w:val="center"/>
              <w:rPr>
                <w:rFonts w:hint="eastAsia" w:ascii="宋体" w:hAnsi="宋体" w:eastAsia="宋体" w:cs="宋体"/>
                <w:sz w:val="18"/>
                <w:szCs w:val="18"/>
                <w:lang w:val="en-US" w:eastAsia="zh-CN"/>
              </w:rPr>
            </w:pPr>
            <w:r>
              <w:rPr>
                <w:rFonts w:hint="eastAsia" w:ascii="宋体" w:hAnsi="宋体" w:eastAsia="宋体" w:cs="宋体"/>
                <w:color w:val="000000"/>
                <w:sz w:val="18"/>
                <w:szCs w:val="18"/>
                <w:lang w:val="en-US" w:eastAsia="zh-CN"/>
              </w:rPr>
              <w:t>&lt;10</w:t>
            </w:r>
          </w:p>
        </w:tc>
        <w:tc>
          <w:tcPr>
            <w:tcW w:w="1195" w:type="dxa"/>
            <w:vMerge w:val="continue"/>
            <w:vAlign w:val="center"/>
          </w:tcPr>
          <w:p w14:paraId="0DBAC2DF">
            <w:pPr>
              <w:jc w:val="center"/>
              <w:rPr>
                <w:rFonts w:hint="eastAsia" w:ascii="宋体" w:hAnsi="宋体" w:eastAsia="宋体" w:cs="宋体"/>
                <w:color w:val="000000"/>
                <w:sz w:val="18"/>
                <w:szCs w:val="18"/>
                <w:lang w:val="en-US" w:eastAsia="zh-CN"/>
              </w:rPr>
            </w:pPr>
          </w:p>
        </w:tc>
      </w:tr>
      <w:tr w14:paraId="4B9EB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15" w:type="dxa"/>
            <w:vMerge w:val="continue"/>
            <w:vAlign w:val="center"/>
          </w:tcPr>
          <w:p w14:paraId="7C54345B">
            <w:pPr>
              <w:jc w:val="center"/>
              <w:rPr>
                <w:rFonts w:hint="eastAsia" w:ascii="宋体" w:hAnsi="宋体" w:eastAsia="宋体" w:cs="宋体"/>
                <w:sz w:val="18"/>
                <w:szCs w:val="18"/>
              </w:rPr>
            </w:pPr>
          </w:p>
        </w:tc>
        <w:tc>
          <w:tcPr>
            <w:tcW w:w="1321" w:type="dxa"/>
            <w:vMerge w:val="continue"/>
            <w:vAlign w:val="center"/>
          </w:tcPr>
          <w:p w14:paraId="6B986786">
            <w:pPr>
              <w:jc w:val="center"/>
              <w:rPr>
                <w:rFonts w:hint="eastAsia" w:ascii="宋体" w:hAnsi="宋体" w:eastAsia="宋体" w:cs="宋体"/>
                <w:sz w:val="18"/>
                <w:szCs w:val="18"/>
              </w:rPr>
            </w:pPr>
          </w:p>
        </w:tc>
        <w:tc>
          <w:tcPr>
            <w:tcW w:w="1293" w:type="dxa"/>
            <w:vMerge w:val="continue"/>
            <w:vAlign w:val="center"/>
          </w:tcPr>
          <w:p w14:paraId="12096FE9">
            <w:pPr>
              <w:jc w:val="center"/>
              <w:rPr>
                <w:rFonts w:hint="eastAsia" w:ascii="宋体" w:hAnsi="宋体" w:eastAsia="宋体" w:cs="宋体"/>
                <w:sz w:val="18"/>
                <w:szCs w:val="18"/>
              </w:rPr>
            </w:pPr>
          </w:p>
        </w:tc>
        <w:tc>
          <w:tcPr>
            <w:tcW w:w="1343" w:type="dxa"/>
            <w:shd w:val="clear" w:color="auto" w:fill="auto"/>
            <w:vAlign w:val="center"/>
          </w:tcPr>
          <w:p w14:paraId="08979C7C">
            <w:pPr>
              <w:widowControl/>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第三次</w:t>
            </w:r>
          </w:p>
        </w:tc>
        <w:tc>
          <w:tcPr>
            <w:tcW w:w="1195" w:type="dxa"/>
            <w:vAlign w:val="center"/>
          </w:tcPr>
          <w:p w14:paraId="5A395349">
            <w:pPr>
              <w:jc w:val="center"/>
              <w:rPr>
                <w:rFonts w:hint="eastAsia" w:ascii="宋体" w:hAnsi="宋体" w:eastAsia="宋体" w:cs="宋体"/>
                <w:sz w:val="18"/>
                <w:szCs w:val="18"/>
                <w:lang w:val="en-US" w:eastAsia="zh-CN"/>
              </w:rPr>
            </w:pPr>
            <w:r>
              <w:rPr>
                <w:rFonts w:hint="eastAsia" w:ascii="宋体" w:hAnsi="宋体" w:eastAsia="宋体" w:cs="宋体"/>
                <w:color w:val="000000"/>
                <w:sz w:val="18"/>
                <w:szCs w:val="18"/>
                <w:lang w:val="en-US" w:eastAsia="zh-CN"/>
              </w:rPr>
              <w:t>&lt;10</w:t>
            </w:r>
          </w:p>
        </w:tc>
        <w:tc>
          <w:tcPr>
            <w:tcW w:w="1195" w:type="dxa"/>
            <w:vAlign w:val="center"/>
          </w:tcPr>
          <w:p w14:paraId="0D8F910F">
            <w:pPr>
              <w:jc w:val="center"/>
              <w:rPr>
                <w:rFonts w:hint="eastAsia" w:ascii="宋体" w:hAnsi="宋体" w:eastAsia="宋体" w:cs="宋体"/>
                <w:sz w:val="18"/>
                <w:szCs w:val="18"/>
                <w:lang w:val="en-US" w:eastAsia="zh-CN"/>
              </w:rPr>
            </w:pPr>
            <w:r>
              <w:rPr>
                <w:rFonts w:hint="eastAsia" w:ascii="宋体" w:hAnsi="宋体" w:eastAsia="宋体" w:cs="宋体"/>
                <w:color w:val="000000"/>
                <w:sz w:val="18"/>
                <w:szCs w:val="18"/>
                <w:lang w:val="en-US" w:eastAsia="zh-CN"/>
              </w:rPr>
              <w:t>&lt;10</w:t>
            </w:r>
          </w:p>
        </w:tc>
        <w:tc>
          <w:tcPr>
            <w:tcW w:w="1195" w:type="dxa"/>
            <w:vMerge w:val="continue"/>
            <w:vAlign w:val="center"/>
          </w:tcPr>
          <w:p w14:paraId="3112C6B8">
            <w:pPr>
              <w:jc w:val="center"/>
              <w:rPr>
                <w:rFonts w:hint="eastAsia" w:ascii="宋体" w:hAnsi="宋体" w:eastAsia="宋体" w:cs="宋体"/>
                <w:color w:val="000000"/>
                <w:sz w:val="18"/>
                <w:szCs w:val="18"/>
                <w:lang w:val="en-US" w:eastAsia="zh-CN"/>
              </w:rPr>
            </w:pPr>
          </w:p>
        </w:tc>
      </w:tr>
      <w:tr w14:paraId="2B71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15" w:type="dxa"/>
            <w:vMerge w:val="continue"/>
            <w:vAlign w:val="center"/>
          </w:tcPr>
          <w:p w14:paraId="394FD221">
            <w:pPr>
              <w:jc w:val="center"/>
              <w:rPr>
                <w:rFonts w:hint="eastAsia" w:ascii="宋体" w:hAnsi="宋体" w:eastAsia="宋体" w:cs="宋体"/>
                <w:sz w:val="18"/>
                <w:szCs w:val="18"/>
              </w:rPr>
            </w:pPr>
          </w:p>
        </w:tc>
        <w:tc>
          <w:tcPr>
            <w:tcW w:w="1321" w:type="dxa"/>
            <w:vMerge w:val="continue"/>
            <w:vAlign w:val="center"/>
          </w:tcPr>
          <w:p w14:paraId="1879FDE0">
            <w:pPr>
              <w:jc w:val="center"/>
              <w:rPr>
                <w:rFonts w:hint="eastAsia" w:ascii="宋体" w:hAnsi="宋体" w:eastAsia="宋体" w:cs="宋体"/>
                <w:sz w:val="18"/>
                <w:szCs w:val="18"/>
              </w:rPr>
            </w:pPr>
          </w:p>
        </w:tc>
        <w:tc>
          <w:tcPr>
            <w:tcW w:w="1293" w:type="dxa"/>
            <w:vMerge w:val="continue"/>
            <w:vAlign w:val="center"/>
          </w:tcPr>
          <w:p w14:paraId="66906CB0">
            <w:pPr>
              <w:jc w:val="center"/>
              <w:rPr>
                <w:rFonts w:hint="eastAsia" w:ascii="宋体" w:hAnsi="宋体" w:eastAsia="宋体" w:cs="宋体"/>
                <w:sz w:val="18"/>
                <w:szCs w:val="18"/>
              </w:rPr>
            </w:pPr>
          </w:p>
        </w:tc>
        <w:tc>
          <w:tcPr>
            <w:tcW w:w="1343" w:type="dxa"/>
            <w:shd w:val="clear" w:color="auto" w:fill="auto"/>
            <w:vAlign w:val="center"/>
          </w:tcPr>
          <w:p w14:paraId="2604E384">
            <w:pPr>
              <w:widowControl/>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第四次</w:t>
            </w:r>
          </w:p>
        </w:tc>
        <w:tc>
          <w:tcPr>
            <w:tcW w:w="1195" w:type="dxa"/>
            <w:shd w:val="clear" w:color="auto" w:fill="auto"/>
            <w:vAlign w:val="center"/>
          </w:tcPr>
          <w:p w14:paraId="23161894">
            <w:pPr>
              <w:jc w:val="center"/>
              <w:rPr>
                <w:rFonts w:hint="eastAsia" w:ascii="宋体" w:hAnsi="宋体" w:eastAsia="宋体" w:cs="宋体"/>
                <w:kern w:val="2"/>
                <w:sz w:val="18"/>
                <w:szCs w:val="18"/>
                <w:lang w:val="en-US" w:eastAsia="zh-CN" w:bidi="ar-SA"/>
              </w:rPr>
            </w:pPr>
            <w:r>
              <w:rPr>
                <w:rFonts w:hint="eastAsia" w:ascii="宋体" w:hAnsi="宋体" w:eastAsia="宋体" w:cs="宋体"/>
                <w:color w:val="000000"/>
                <w:sz w:val="18"/>
                <w:szCs w:val="18"/>
                <w:lang w:val="en-US" w:eastAsia="zh-CN"/>
              </w:rPr>
              <w:t>&lt;10</w:t>
            </w:r>
          </w:p>
        </w:tc>
        <w:tc>
          <w:tcPr>
            <w:tcW w:w="1195" w:type="dxa"/>
            <w:shd w:val="clear" w:color="auto" w:fill="auto"/>
            <w:vAlign w:val="center"/>
          </w:tcPr>
          <w:p w14:paraId="2C40C00B">
            <w:pPr>
              <w:jc w:val="center"/>
              <w:rPr>
                <w:rFonts w:hint="eastAsia" w:ascii="宋体" w:hAnsi="宋体" w:eastAsia="宋体" w:cs="宋体"/>
                <w:kern w:val="2"/>
                <w:sz w:val="18"/>
                <w:szCs w:val="18"/>
                <w:lang w:val="en-US" w:eastAsia="zh-CN" w:bidi="ar-SA"/>
              </w:rPr>
            </w:pPr>
            <w:r>
              <w:rPr>
                <w:rFonts w:hint="eastAsia" w:ascii="宋体" w:hAnsi="宋体" w:eastAsia="宋体" w:cs="宋体"/>
                <w:color w:val="000000"/>
                <w:sz w:val="18"/>
                <w:szCs w:val="18"/>
                <w:lang w:val="en-US" w:eastAsia="zh-CN"/>
              </w:rPr>
              <w:t>&lt;10</w:t>
            </w:r>
          </w:p>
        </w:tc>
        <w:tc>
          <w:tcPr>
            <w:tcW w:w="1195" w:type="dxa"/>
            <w:vMerge w:val="continue"/>
            <w:shd w:val="clear" w:color="auto" w:fill="auto"/>
            <w:vAlign w:val="center"/>
          </w:tcPr>
          <w:p w14:paraId="4CD1EF68">
            <w:pPr>
              <w:jc w:val="center"/>
              <w:rPr>
                <w:rFonts w:hint="eastAsia" w:ascii="宋体" w:hAnsi="宋体" w:eastAsia="宋体" w:cs="宋体"/>
                <w:color w:val="000000"/>
                <w:sz w:val="18"/>
                <w:szCs w:val="18"/>
                <w:lang w:val="en-US" w:eastAsia="zh-CN"/>
              </w:rPr>
            </w:pPr>
          </w:p>
        </w:tc>
      </w:tr>
      <w:tr w14:paraId="7142A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15" w:type="dxa"/>
            <w:vMerge w:val="continue"/>
            <w:vAlign w:val="center"/>
          </w:tcPr>
          <w:p w14:paraId="7515C647">
            <w:pPr>
              <w:jc w:val="center"/>
              <w:rPr>
                <w:rFonts w:hint="eastAsia" w:ascii="宋体" w:hAnsi="宋体" w:eastAsia="宋体" w:cs="宋体"/>
                <w:sz w:val="18"/>
                <w:szCs w:val="18"/>
              </w:rPr>
            </w:pPr>
          </w:p>
        </w:tc>
        <w:tc>
          <w:tcPr>
            <w:tcW w:w="1321" w:type="dxa"/>
            <w:vMerge w:val="continue"/>
            <w:vAlign w:val="center"/>
          </w:tcPr>
          <w:p w14:paraId="3FFF1D09">
            <w:pPr>
              <w:jc w:val="center"/>
              <w:rPr>
                <w:rFonts w:hint="eastAsia" w:ascii="宋体" w:hAnsi="宋体" w:eastAsia="宋体" w:cs="宋体"/>
                <w:sz w:val="18"/>
                <w:szCs w:val="18"/>
              </w:rPr>
            </w:pPr>
          </w:p>
        </w:tc>
        <w:tc>
          <w:tcPr>
            <w:tcW w:w="1293" w:type="dxa"/>
            <w:vMerge w:val="continue"/>
            <w:vAlign w:val="center"/>
          </w:tcPr>
          <w:p w14:paraId="689671B4">
            <w:pPr>
              <w:jc w:val="center"/>
              <w:rPr>
                <w:rFonts w:hint="eastAsia" w:ascii="宋体" w:hAnsi="宋体" w:eastAsia="宋体" w:cs="宋体"/>
                <w:sz w:val="18"/>
                <w:szCs w:val="18"/>
              </w:rPr>
            </w:pPr>
          </w:p>
        </w:tc>
        <w:tc>
          <w:tcPr>
            <w:tcW w:w="1343" w:type="dxa"/>
            <w:shd w:val="clear" w:color="auto" w:fill="auto"/>
            <w:vAlign w:val="center"/>
          </w:tcPr>
          <w:p w14:paraId="7B077256">
            <w:pPr>
              <w:widowControl/>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最高值</w:t>
            </w:r>
          </w:p>
        </w:tc>
        <w:tc>
          <w:tcPr>
            <w:tcW w:w="1195" w:type="dxa"/>
            <w:vAlign w:val="center"/>
          </w:tcPr>
          <w:p w14:paraId="0043F465">
            <w:pPr>
              <w:jc w:val="center"/>
              <w:rPr>
                <w:rFonts w:hint="eastAsia" w:ascii="宋体" w:hAnsi="宋体" w:eastAsia="宋体" w:cs="宋体"/>
                <w:sz w:val="18"/>
                <w:szCs w:val="18"/>
                <w:lang w:val="en-US" w:eastAsia="zh-CN"/>
              </w:rPr>
            </w:pPr>
            <w:r>
              <w:rPr>
                <w:rFonts w:hint="eastAsia" w:ascii="宋体" w:hAnsi="宋体" w:eastAsia="宋体" w:cs="宋体"/>
                <w:color w:val="000000"/>
                <w:sz w:val="18"/>
                <w:szCs w:val="18"/>
                <w:lang w:val="en-US" w:eastAsia="zh-CN"/>
              </w:rPr>
              <w:t>&lt;10</w:t>
            </w:r>
          </w:p>
        </w:tc>
        <w:tc>
          <w:tcPr>
            <w:tcW w:w="1195" w:type="dxa"/>
            <w:vAlign w:val="center"/>
          </w:tcPr>
          <w:p w14:paraId="073BDB6D">
            <w:pPr>
              <w:jc w:val="center"/>
              <w:rPr>
                <w:rFonts w:hint="eastAsia" w:ascii="宋体" w:hAnsi="宋体" w:eastAsia="宋体" w:cs="宋体"/>
                <w:sz w:val="18"/>
                <w:szCs w:val="18"/>
                <w:lang w:val="en-US" w:eastAsia="zh-CN"/>
              </w:rPr>
            </w:pPr>
            <w:r>
              <w:rPr>
                <w:rFonts w:hint="eastAsia" w:ascii="宋体" w:hAnsi="宋体" w:eastAsia="宋体" w:cs="宋体"/>
                <w:color w:val="000000"/>
                <w:sz w:val="18"/>
                <w:szCs w:val="18"/>
                <w:lang w:val="en-US" w:eastAsia="zh-CN"/>
              </w:rPr>
              <w:t>&lt;10</w:t>
            </w:r>
          </w:p>
        </w:tc>
        <w:tc>
          <w:tcPr>
            <w:tcW w:w="1195" w:type="dxa"/>
            <w:vMerge w:val="continue"/>
            <w:vAlign w:val="center"/>
          </w:tcPr>
          <w:p w14:paraId="2E77AFE7">
            <w:pPr>
              <w:jc w:val="center"/>
              <w:rPr>
                <w:rFonts w:hint="eastAsia" w:ascii="宋体" w:hAnsi="宋体" w:eastAsia="宋体" w:cs="宋体"/>
                <w:color w:val="000000"/>
                <w:sz w:val="18"/>
                <w:szCs w:val="18"/>
                <w:lang w:val="en-US" w:eastAsia="zh-CN"/>
              </w:rPr>
            </w:pPr>
          </w:p>
        </w:tc>
      </w:tr>
      <w:tr w14:paraId="2146F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15" w:type="dxa"/>
            <w:vMerge w:val="restart"/>
            <w:vAlign w:val="center"/>
          </w:tcPr>
          <w:p w14:paraId="6B5E13B9">
            <w:pPr>
              <w:jc w:val="center"/>
              <w:rPr>
                <w:rFonts w:hint="eastAsia" w:ascii="宋体" w:hAnsi="宋体" w:eastAsia="宋体" w:cs="宋体"/>
                <w:sz w:val="18"/>
                <w:szCs w:val="18"/>
              </w:rPr>
            </w:pPr>
            <w:r>
              <w:rPr>
                <w:rFonts w:hint="eastAsia" w:ascii="宋体" w:hAnsi="宋体" w:eastAsia="宋体" w:cs="宋体"/>
                <w:sz w:val="18"/>
                <w:szCs w:val="18"/>
              </w:rPr>
              <w:t>下风向2#</w:t>
            </w:r>
          </w:p>
        </w:tc>
        <w:tc>
          <w:tcPr>
            <w:tcW w:w="1321" w:type="dxa"/>
            <w:vMerge w:val="restart"/>
            <w:shd w:val="clear" w:color="auto" w:fill="auto"/>
            <w:vAlign w:val="center"/>
          </w:tcPr>
          <w:p w14:paraId="3386FE56">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非甲烷总烃</w:t>
            </w:r>
          </w:p>
          <w:p w14:paraId="22FD6963">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（以碳计）</w:t>
            </w:r>
          </w:p>
        </w:tc>
        <w:tc>
          <w:tcPr>
            <w:tcW w:w="1293" w:type="dxa"/>
            <w:vMerge w:val="restart"/>
            <w:shd w:val="clear" w:color="auto" w:fill="auto"/>
            <w:vAlign w:val="center"/>
          </w:tcPr>
          <w:p w14:paraId="5ECB597E">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气袋</w:t>
            </w:r>
          </w:p>
        </w:tc>
        <w:tc>
          <w:tcPr>
            <w:tcW w:w="1343" w:type="dxa"/>
            <w:vAlign w:val="center"/>
          </w:tcPr>
          <w:p w14:paraId="31A60B4F">
            <w:pPr>
              <w:jc w:val="center"/>
              <w:rPr>
                <w:rFonts w:hint="eastAsia" w:ascii="宋体" w:hAnsi="宋体" w:eastAsia="宋体" w:cs="宋体"/>
                <w:sz w:val="18"/>
                <w:szCs w:val="18"/>
              </w:rPr>
            </w:pPr>
            <w:r>
              <w:rPr>
                <w:rFonts w:hint="eastAsia" w:ascii="宋体" w:hAnsi="宋体" w:eastAsia="宋体" w:cs="宋体"/>
                <w:sz w:val="18"/>
                <w:szCs w:val="18"/>
              </w:rPr>
              <w:t>第一次</w:t>
            </w:r>
          </w:p>
        </w:tc>
        <w:tc>
          <w:tcPr>
            <w:tcW w:w="1195" w:type="dxa"/>
            <w:vAlign w:val="center"/>
          </w:tcPr>
          <w:p w14:paraId="5475B2BE">
            <w:pPr>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1.16</w:t>
            </w:r>
          </w:p>
        </w:tc>
        <w:tc>
          <w:tcPr>
            <w:tcW w:w="1195" w:type="dxa"/>
            <w:vAlign w:val="center"/>
          </w:tcPr>
          <w:p w14:paraId="489173E5">
            <w:pPr>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1.14</w:t>
            </w:r>
          </w:p>
        </w:tc>
        <w:tc>
          <w:tcPr>
            <w:tcW w:w="1195" w:type="dxa"/>
            <w:vMerge w:val="restart"/>
            <w:vAlign w:val="center"/>
          </w:tcPr>
          <w:p w14:paraId="1DEEDF43">
            <w:pPr>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4.0</w:t>
            </w:r>
          </w:p>
        </w:tc>
      </w:tr>
      <w:tr w14:paraId="3A853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15" w:type="dxa"/>
            <w:vMerge w:val="continue"/>
            <w:vAlign w:val="center"/>
          </w:tcPr>
          <w:p w14:paraId="096F812E">
            <w:pPr>
              <w:jc w:val="center"/>
              <w:rPr>
                <w:rFonts w:hint="eastAsia" w:ascii="宋体" w:hAnsi="宋体" w:eastAsia="宋体" w:cs="宋体"/>
                <w:sz w:val="18"/>
                <w:szCs w:val="18"/>
              </w:rPr>
            </w:pPr>
          </w:p>
        </w:tc>
        <w:tc>
          <w:tcPr>
            <w:tcW w:w="1321" w:type="dxa"/>
            <w:vMerge w:val="continue"/>
            <w:vAlign w:val="center"/>
          </w:tcPr>
          <w:p w14:paraId="18654647">
            <w:pPr>
              <w:jc w:val="center"/>
              <w:rPr>
                <w:rFonts w:hint="eastAsia" w:ascii="宋体" w:hAnsi="宋体" w:eastAsia="宋体" w:cs="宋体"/>
                <w:sz w:val="18"/>
                <w:szCs w:val="18"/>
              </w:rPr>
            </w:pPr>
          </w:p>
        </w:tc>
        <w:tc>
          <w:tcPr>
            <w:tcW w:w="1293" w:type="dxa"/>
            <w:vMerge w:val="continue"/>
            <w:vAlign w:val="center"/>
          </w:tcPr>
          <w:p w14:paraId="5C48CBE7">
            <w:pPr>
              <w:jc w:val="center"/>
              <w:rPr>
                <w:rFonts w:hint="eastAsia" w:ascii="宋体" w:hAnsi="宋体" w:eastAsia="宋体" w:cs="宋体"/>
                <w:sz w:val="18"/>
                <w:szCs w:val="18"/>
              </w:rPr>
            </w:pPr>
          </w:p>
        </w:tc>
        <w:tc>
          <w:tcPr>
            <w:tcW w:w="1343" w:type="dxa"/>
            <w:vAlign w:val="center"/>
          </w:tcPr>
          <w:p w14:paraId="72305921">
            <w:pPr>
              <w:widowControl/>
              <w:jc w:val="center"/>
              <w:rPr>
                <w:rFonts w:hint="eastAsia" w:ascii="宋体" w:hAnsi="宋体" w:eastAsia="宋体" w:cs="宋体"/>
                <w:sz w:val="18"/>
                <w:szCs w:val="18"/>
              </w:rPr>
            </w:pPr>
            <w:r>
              <w:rPr>
                <w:rFonts w:hint="eastAsia" w:ascii="宋体" w:hAnsi="宋体" w:eastAsia="宋体" w:cs="宋体"/>
                <w:sz w:val="18"/>
                <w:szCs w:val="18"/>
              </w:rPr>
              <w:t>第二次</w:t>
            </w:r>
          </w:p>
        </w:tc>
        <w:tc>
          <w:tcPr>
            <w:tcW w:w="1195" w:type="dxa"/>
            <w:vAlign w:val="center"/>
          </w:tcPr>
          <w:p w14:paraId="697A43C5">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1.14</w:t>
            </w:r>
          </w:p>
        </w:tc>
        <w:tc>
          <w:tcPr>
            <w:tcW w:w="1195" w:type="dxa"/>
            <w:vAlign w:val="center"/>
          </w:tcPr>
          <w:p w14:paraId="015AB9A4">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1.15</w:t>
            </w:r>
          </w:p>
        </w:tc>
        <w:tc>
          <w:tcPr>
            <w:tcW w:w="1195" w:type="dxa"/>
            <w:vMerge w:val="continue"/>
            <w:vAlign w:val="center"/>
          </w:tcPr>
          <w:p w14:paraId="1B116830">
            <w:pPr>
              <w:jc w:val="center"/>
              <w:rPr>
                <w:rFonts w:hint="eastAsia" w:ascii="宋体" w:hAnsi="宋体" w:eastAsia="宋体" w:cs="宋体"/>
                <w:sz w:val="18"/>
                <w:szCs w:val="18"/>
                <w:lang w:val="en-US" w:eastAsia="zh-CN"/>
              </w:rPr>
            </w:pPr>
          </w:p>
        </w:tc>
      </w:tr>
      <w:tr w14:paraId="29575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15" w:type="dxa"/>
            <w:vMerge w:val="continue"/>
            <w:vAlign w:val="center"/>
          </w:tcPr>
          <w:p w14:paraId="120A8249">
            <w:pPr>
              <w:jc w:val="center"/>
              <w:rPr>
                <w:rFonts w:hint="eastAsia" w:ascii="宋体" w:hAnsi="宋体" w:eastAsia="宋体" w:cs="宋体"/>
                <w:sz w:val="18"/>
                <w:szCs w:val="18"/>
              </w:rPr>
            </w:pPr>
          </w:p>
        </w:tc>
        <w:tc>
          <w:tcPr>
            <w:tcW w:w="1321" w:type="dxa"/>
            <w:vMerge w:val="continue"/>
            <w:vAlign w:val="center"/>
          </w:tcPr>
          <w:p w14:paraId="2D27A1A2">
            <w:pPr>
              <w:jc w:val="center"/>
              <w:rPr>
                <w:rFonts w:hint="eastAsia" w:ascii="宋体" w:hAnsi="宋体" w:eastAsia="宋体" w:cs="宋体"/>
                <w:sz w:val="18"/>
                <w:szCs w:val="18"/>
              </w:rPr>
            </w:pPr>
          </w:p>
        </w:tc>
        <w:tc>
          <w:tcPr>
            <w:tcW w:w="1293" w:type="dxa"/>
            <w:vMerge w:val="continue"/>
            <w:vAlign w:val="center"/>
          </w:tcPr>
          <w:p w14:paraId="06D7F585">
            <w:pPr>
              <w:jc w:val="center"/>
              <w:rPr>
                <w:rFonts w:hint="eastAsia" w:ascii="宋体" w:hAnsi="宋体" w:eastAsia="宋体" w:cs="宋体"/>
                <w:sz w:val="18"/>
                <w:szCs w:val="18"/>
              </w:rPr>
            </w:pPr>
          </w:p>
        </w:tc>
        <w:tc>
          <w:tcPr>
            <w:tcW w:w="1343" w:type="dxa"/>
            <w:vAlign w:val="center"/>
          </w:tcPr>
          <w:p w14:paraId="38876932">
            <w:pPr>
              <w:widowControl/>
              <w:jc w:val="center"/>
              <w:rPr>
                <w:rFonts w:hint="eastAsia" w:ascii="宋体" w:hAnsi="宋体" w:eastAsia="宋体" w:cs="宋体"/>
                <w:sz w:val="18"/>
                <w:szCs w:val="18"/>
              </w:rPr>
            </w:pPr>
            <w:r>
              <w:rPr>
                <w:rFonts w:hint="eastAsia" w:ascii="宋体" w:hAnsi="宋体" w:eastAsia="宋体" w:cs="宋体"/>
                <w:sz w:val="18"/>
                <w:szCs w:val="18"/>
              </w:rPr>
              <w:t>第三次</w:t>
            </w:r>
          </w:p>
        </w:tc>
        <w:tc>
          <w:tcPr>
            <w:tcW w:w="1195" w:type="dxa"/>
            <w:vAlign w:val="center"/>
          </w:tcPr>
          <w:p w14:paraId="7BD4275B">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1.13</w:t>
            </w:r>
          </w:p>
        </w:tc>
        <w:tc>
          <w:tcPr>
            <w:tcW w:w="1195" w:type="dxa"/>
            <w:vAlign w:val="center"/>
          </w:tcPr>
          <w:p w14:paraId="1D434DC7">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1.11</w:t>
            </w:r>
          </w:p>
        </w:tc>
        <w:tc>
          <w:tcPr>
            <w:tcW w:w="1195" w:type="dxa"/>
            <w:vMerge w:val="continue"/>
            <w:vAlign w:val="center"/>
          </w:tcPr>
          <w:p w14:paraId="7574F118">
            <w:pPr>
              <w:jc w:val="center"/>
              <w:rPr>
                <w:rFonts w:hint="eastAsia" w:ascii="宋体" w:hAnsi="宋体" w:eastAsia="宋体" w:cs="宋体"/>
                <w:sz w:val="18"/>
                <w:szCs w:val="18"/>
                <w:lang w:val="en-US" w:eastAsia="zh-CN"/>
              </w:rPr>
            </w:pPr>
          </w:p>
        </w:tc>
      </w:tr>
      <w:tr w14:paraId="70055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15" w:type="dxa"/>
            <w:vMerge w:val="continue"/>
            <w:vAlign w:val="center"/>
          </w:tcPr>
          <w:p w14:paraId="2A46790E">
            <w:pPr>
              <w:jc w:val="center"/>
              <w:rPr>
                <w:rFonts w:hint="eastAsia" w:ascii="宋体" w:hAnsi="宋体" w:eastAsia="宋体" w:cs="宋体"/>
                <w:sz w:val="18"/>
                <w:szCs w:val="18"/>
              </w:rPr>
            </w:pPr>
          </w:p>
        </w:tc>
        <w:tc>
          <w:tcPr>
            <w:tcW w:w="1321" w:type="dxa"/>
            <w:vMerge w:val="continue"/>
            <w:vAlign w:val="center"/>
          </w:tcPr>
          <w:p w14:paraId="46FEA539">
            <w:pPr>
              <w:jc w:val="center"/>
              <w:rPr>
                <w:rFonts w:hint="eastAsia" w:ascii="宋体" w:hAnsi="宋体" w:eastAsia="宋体" w:cs="宋体"/>
                <w:sz w:val="18"/>
                <w:szCs w:val="18"/>
              </w:rPr>
            </w:pPr>
          </w:p>
        </w:tc>
        <w:tc>
          <w:tcPr>
            <w:tcW w:w="1293" w:type="dxa"/>
            <w:vMerge w:val="continue"/>
            <w:vAlign w:val="center"/>
          </w:tcPr>
          <w:p w14:paraId="578047FB">
            <w:pPr>
              <w:jc w:val="center"/>
              <w:rPr>
                <w:rFonts w:hint="eastAsia" w:ascii="宋体" w:hAnsi="宋体" w:eastAsia="宋体" w:cs="宋体"/>
                <w:sz w:val="18"/>
                <w:szCs w:val="18"/>
              </w:rPr>
            </w:pPr>
          </w:p>
        </w:tc>
        <w:tc>
          <w:tcPr>
            <w:tcW w:w="1343" w:type="dxa"/>
            <w:vAlign w:val="center"/>
          </w:tcPr>
          <w:p w14:paraId="543B1B17">
            <w:pPr>
              <w:widowControl/>
              <w:jc w:val="center"/>
              <w:rPr>
                <w:rFonts w:hint="eastAsia" w:ascii="宋体" w:hAnsi="宋体" w:eastAsia="宋体" w:cs="宋体"/>
                <w:sz w:val="18"/>
                <w:szCs w:val="18"/>
              </w:rPr>
            </w:pPr>
            <w:r>
              <w:rPr>
                <w:rFonts w:hint="eastAsia" w:ascii="宋体" w:hAnsi="宋体" w:eastAsia="宋体" w:cs="宋体"/>
                <w:sz w:val="18"/>
                <w:szCs w:val="18"/>
                <w:lang w:val="en-US" w:eastAsia="zh-CN"/>
              </w:rPr>
              <w:t>第四次</w:t>
            </w:r>
          </w:p>
        </w:tc>
        <w:tc>
          <w:tcPr>
            <w:tcW w:w="1195" w:type="dxa"/>
            <w:vAlign w:val="center"/>
          </w:tcPr>
          <w:p w14:paraId="2E24F4D4">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1.13</w:t>
            </w:r>
          </w:p>
        </w:tc>
        <w:tc>
          <w:tcPr>
            <w:tcW w:w="1195" w:type="dxa"/>
            <w:vAlign w:val="center"/>
          </w:tcPr>
          <w:p w14:paraId="1FA051B0">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1.16</w:t>
            </w:r>
          </w:p>
        </w:tc>
        <w:tc>
          <w:tcPr>
            <w:tcW w:w="1195" w:type="dxa"/>
            <w:vMerge w:val="continue"/>
            <w:vAlign w:val="center"/>
          </w:tcPr>
          <w:p w14:paraId="6AEBA539">
            <w:pPr>
              <w:jc w:val="center"/>
              <w:rPr>
                <w:rFonts w:hint="eastAsia" w:ascii="宋体" w:hAnsi="宋体" w:eastAsia="宋体" w:cs="宋体"/>
                <w:sz w:val="18"/>
                <w:szCs w:val="18"/>
                <w:lang w:val="en-US" w:eastAsia="zh-CN"/>
              </w:rPr>
            </w:pPr>
          </w:p>
        </w:tc>
      </w:tr>
      <w:tr w14:paraId="48443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15" w:type="dxa"/>
            <w:vMerge w:val="continue"/>
            <w:vAlign w:val="center"/>
          </w:tcPr>
          <w:p w14:paraId="11964B8C">
            <w:pPr>
              <w:jc w:val="center"/>
              <w:rPr>
                <w:rFonts w:hint="eastAsia" w:ascii="宋体" w:hAnsi="宋体" w:eastAsia="宋体" w:cs="宋体"/>
                <w:sz w:val="18"/>
                <w:szCs w:val="18"/>
              </w:rPr>
            </w:pPr>
          </w:p>
        </w:tc>
        <w:tc>
          <w:tcPr>
            <w:tcW w:w="1321" w:type="dxa"/>
            <w:vMerge w:val="continue"/>
            <w:vAlign w:val="center"/>
          </w:tcPr>
          <w:p w14:paraId="114153F5">
            <w:pPr>
              <w:jc w:val="center"/>
              <w:rPr>
                <w:rFonts w:hint="eastAsia" w:ascii="宋体" w:hAnsi="宋体" w:eastAsia="宋体" w:cs="宋体"/>
                <w:sz w:val="18"/>
                <w:szCs w:val="18"/>
              </w:rPr>
            </w:pPr>
          </w:p>
        </w:tc>
        <w:tc>
          <w:tcPr>
            <w:tcW w:w="1293" w:type="dxa"/>
            <w:vMerge w:val="continue"/>
            <w:vAlign w:val="center"/>
          </w:tcPr>
          <w:p w14:paraId="32326E32">
            <w:pPr>
              <w:jc w:val="center"/>
              <w:rPr>
                <w:rFonts w:hint="eastAsia" w:ascii="宋体" w:hAnsi="宋体" w:eastAsia="宋体" w:cs="宋体"/>
                <w:sz w:val="18"/>
                <w:szCs w:val="18"/>
              </w:rPr>
            </w:pPr>
          </w:p>
        </w:tc>
        <w:tc>
          <w:tcPr>
            <w:tcW w:w="1343" w:type="dxa"/>
            <w:vAlign w:val="center"/>
          </w:tcPr>
          <w:p w14:paraId="2B5C5B37">
            <w:pPr>
              <w:widowControl/>
              <w:jc w:val="center"/>
              <w:rPr>
                <w:rFonts w:hint="eastAsia" w:ascii="宋体" w:hAnsi="宋体" w:eastAsia="宋体" w:cs="宋体"/>
                <w:sz w:val="18"/>
                <w:szCs w:val="18"/>
              </w:rPr>
            </w:pPr>
            <w:r>
              <w:rPr>
                <w:rFonts w:hint="eastAsia" w:ascii="宋体" w:hAnsi="宋体" w:eastAsia="宋体" w:cs="宋体"/>
                <w:sz w:val="18"/>
                <w:szCs w:val="18"/>
              </w:rPr>
              <w:t>最高值</w:t>
            </w:r>
          </w:p>
        </w:tc>
        <w:tc>
          <w:tcPr>
            <w:tcW w:w="1195" w:type="dxa"/>
            <w:vAlign w:val="center"/>
          </w:tcPr>
          <w:p w14:paraId="55D5B97E">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1.16</w:t>
            </w:r>
          </w:p>
        </w:tc>
        <w:tc>
          <w:tcPr>
            <w:tcW w:w="1195" w:type="dxa"/>
            <w:vAlign w:val="center"/>
          </w:tcPr>
          <w:p w14:paraId="28444D10">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1.16</w:t>
            </w:r>
          </w:p>
        </w:tc>
        <w:tc>
          <w:tcPr>
            <w:tcW w:w="1195" w:type="dxa"/>
            <w:vMerge w:val="continue"/>
            <w:vAlign w:val="center"/>
          </w:tcPr>
          <w:p w14:paraId="0C88578B">
            <w:pPr>
              <w:jc w:val="center"/>
              <w:rPr>
                <w:rFonts w:hint="eastAsia" w:ascii="宋体" w:hAnsi="宋体" w:eastAsia="宋体" w:cs="宋体"/>
                <w:sz w:val="18"/>
                <w:szCs w:val="18"/>
                <w:lang w:val="en-US" w:eastAsia="zh-CN"/>
              </w:rPr>
            </w:pPr>
          </w:p>
        </w:tc>
      </w:tr>
      <w:tr w14:paraId="1DE45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15" w:type="dxa"/>
            <w:vMerge w:val="continue"/>
            <w:vAlign w:val="center"/>
          </w:tcPr>
          <w:p w14:paraId="67D60D82">
            <w:pPr>
              <w:jc w:val="center"/>
              <w:rPr>
                <w:rFonts w:hint="eastAsia" w:ascii="宋体" w:hAnsi="宋体" w:eastAsia="宋体" w:cs="宋体"/>
                <w:sz w:val="18"/>
                <w:szCs w:val="18"/>
              </w:rPr>
            </w:pPr>
          </w:p>
        </w:tc>
        <w:tc>
          <w:tcPr>
            <w:tcW w:w="1321" w:type="dxa"/>
            <w:vMerge w:val="restart"/>
            <w:shd w:val="clear" w:color="auto" w:fill="auto"/>
            <w:vAlign w:val="center"/>
          </w:tcPr>
          <w:p w14:paraId="6F67F537">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臭气浓度</w:t>
            </w:r>
          </w:p>
          <w:p w14:paraId="055B139A">
            <w:pPr>
              <w:jc w:val="center"/>
              <w:rPr>
                <w:rFonts w:hint="eastAsia" w:ascii="宋体" w:hAnsi="宋体" w:eastAsia="宋体" w:cs="宋体"/>
                <w:sz w:val="18"/>
                <w:szCs w:val="18"/>
              </w:rPr>
            </w:pPr>
            <w:r>
              <w:rPr>
                <w:rFonts w:hint="eastAsia" w:ascii="宋体" w:hAnsi="宋体" w:eastAsia="宋体" w:cs="宋体"/>
                <w:sz w:val="18"/>
                <w:szCs w:val="18"/>
                <w:lang w:val="en-US" w:eastAsia="zh-CN"/>
              </w:rPr>
              <w:t>（无量纲）</w:t>
            </w:r>
          </w:p>
        </w:tc>
        <w:tc>
          <w:tcPr>
            <w:tcW w:w="1293" w:type="dxa"/>
            <w:vMerge w:val="restart"/>
            <w:shd w:val="clear" w:color="auto" w:fill="auto"/>
            <w:vAlign w:val="center"/>
          </w:tcPr>
          <w:p w14:paraId="70893F4F">
            <w:pPr>
              <w:jc w:val="center"/>
              <w:rPr>
                <w:rFonts w:hint="eastAsia" w:ascii="宋体" w:hAnsi="宋体" w:eastAsia="宋体" w:cs="宋体"/>
                <w:sz w:val="18"/>
                <w:szCs w:val="18"/>
              </w:rPr>
            </w:pPr>
            <w:r>
              <w:rPr>
                <w:rFonts w:hint="eastAsia" w:ascii="宋体" w:hAnsi="宋体" w:eastAsia="宋体" w:cs="宋体"/>
                <w:sz w:val="18"/>
                <w:szCs w:val="18"/>
                <w:lang w:val="en-US" w:eastAsia="zh-CN"/>
              </w:rPr>
              <w:t>气瓶</w:t>
            </w:r>
          </w:p>
        </w:tc>
        <w:tc>
          <w:tcPr>
            <w:tcW w:w="1343" w:type="dxa"/>
            <w:shd w:val="clear" w:color="auto" w:fill="auto"/>
            <w:vAlign w:val="center"/>
          </w:tcPr>
          <w:p w14:paraId="3243F4F2">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第一次</w:t>
            </w:r>
          </w:p>
        </w:tc>
        <w:tc>
          <w:tcPr>
            <w:tcW w:w="1195" w:type="dxa"/>
            <w:shd w:val="clear" w:color="auto" w:fill="auto"/>
            <w:vAlign w:val="center"/>
          </w:tcPr>
          <w:p w14:paraId="6EDA7616">
            <w:pPr>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&lt;10</w:t>
            </w:r>
          </w:p>
        </w:tc>
        <w:tc>
          <w:tcPr>
            <w:tcW w:w="1195" w:type="dxa"/>
            <w:shd w:val="clear" w:color="auto" w:fill="auto"/>
            <w:vAlign w:val="center"/>
          </w:tcPr>
          <w:p w14:paraId="3A65A48A">
            <w:pPr>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&lt;10</w:t>
            </w:r>
          </w:p>
        </w:tc>
        <w:tc>
          <w:tcPr>
            <w:tcW w:w="1195" w:type="dxa"/>
            <w:vMerge w:val="restart"/>
            <w:shd w:val="clear" w:color="auto" w:fill="auto"/>
            <w:vAlign w:val="center"/>
          </w:tcPr>
          <w:p w14:paraId="05A19A48">
            <w:pPr>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w:t>
            </w:r>
          </w:p>
        </w:tc>
      </w:tr>
      <w:tr w14:paraId="12E5F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15" w:type="dxa"/>
            <w:vMerge w:val="continue"/>
            <w:vAlign w:val="center"/>
          </w:tcPr>
          <w:p w14:paraId="62039314">
            <w:pPr>
              <w:jc w:val="center"/>
              <w:rPr>
                <w:rFonts w:hint="eastAsia" w:ascii="宋体" w:hAnsi="宋体" w:eastAsia="宋体" w:cs="宋体"/>
                <w:sz w:val="18"/>
                <w:szCs w:val="18"/>
              </w:rPr>
            </w:pPr>
          </w:p>
        </w:tc>
        <w:tc>
          <w:tcPr>
            <w:tcW w:w="1321" w:type="dxa"/>
            <w:vMerge w:val="continue"/>
            <w:vAlign w:val="center"/>
          </w:tcPr>
          <w:p w14:paraId="41B8D6CA">
            <w:pPr>
              <w:jc w:val="center"/>
              <w:rPr>
                <w:rFonts w:hint="eastAsia" w:ascii="宋体" w:hAnsi="宋体" w:eastAsia="宋体" w:cs="宋体"/>
                <w:sz w:val="18"/>
                <w:szCs w:val="18"/>
              </w:rPr>
            </w:pPr>
          </w:p>
        </w:tc>
        <w:tc>
          <w:tcPr>
            <w:tcW w:w="1293" w:type="dxa"/>
            <w:vMerge w:val="continue"/>
            <w:vAlign w:val="center"/>
          </w:tcPr>
          <w:p w14:paraId="6FDF87BF">
            <w:pPr>
              <w:jc w:val="center"/>
              <w:rPr>
                <w:rFonts w:hint="eastAsia" w:ascii="宋体" w:hAnsi="宋体" w:eastAsia="宋体" w:cs="宋体"/>
                <w:sz w:val="18"/>
                <w:szCs w:val="18"/>
              </w:rPr>
            </w:pPr>
          </w:p>
        </w:tc>
        <w:tc>
          <w:tcPr>
            <w:tcW w:w="1343" w:type="dxa"/>
            <w:shd w:val="clear" w:color="auto" w:fill="auto"/>
            <w:vAlign w:val="center"/>
          </w:tcPr>
          <w:p w14:paraId="35270515">
            <w:pPr>
              <w:widowControl/>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第二次</w:t>
            </w:r>
          </w:p>
        </w:tc>
        <w:tc>
          <w:tcPr>
            <w:tcW w:w="1195" w:type="dxa"/>
            <w:shd w:val="clear" w:color="auto" w:fill="auto"/>
            <w:vAlign w:val="center"/>
          </w:tcPr>
          <w:p w14:paraId="0FAC8CA8">
            <w:pPr>
              <w:jc w:val="center"/>
              <w:rPr>
                <w:rFonts w:hint="eastAsia" w:ascii="宋体" w:hAnsi="宋体" w:eastAsia="宋体" w:cs="宋体"/>
                <w:kern w:val="2"/>
                <w:sz w:val="18"/>
                <w:szCs w:val="18"/>
                <w:lang w:val="en-US" w:eastAsia="zh-CN" w:bidi="ar-SA"/>
              </w:rPr>
            </w:pPr>
            <w:r>
              <w:rPr>
                <w:rFonts w:hint="eastAsia" w:ascii="宋体" w:hAnsi="宋体" w:eastAsia="宋体" w:cs="宋体"/>
                <w:color w:val="000000"/>
                <w:sz w:val="18"/>
                <w:szCs w:val="18"/>
                <w:lang w:val="en-US" w:eastAsia="zh-CN"/>
              </w:rPr>
              <w:t>&lt;10</w:t>
            </w:r>
          </w:p>
        </w:tc>
        <w:tc>
          <w:tcPr>
            <w:tcW w:w="1195" w:type="dxa"/>
            <w:shd w:val="clear" w:color="auto" w:fill="auto"/>
            <w:vAlign w:val="center"/>
          </w:tcPr>
          <w:p w14:paraId="5A12A3AB">
            <w:pPr>
              <w:jc w:val="center"/>
              <w:rPr>
                <w:rFonts w:hint="eastAsia" w:ascii="宋体" w:hAnsi="宋体" w:eastAsia="宋体" w:cs="宋体"/>
                <w:kern w:val="2"/>
                <w:sz w:val="18"/>
                <w:szCs w:val="18"/>
                <w:lang w:val="en-US" w:eastAsia="zh-CN" w:bidi="ar-SA"/>
              </w:rPr>
            </w:pPr>
            <w:r>
              <w:rPr>
                <w:rFonts w:hint="eastAsia" w:ascii="宋体" w:hAnsi="宋体" w:eastAsia="宋体" w:cs="宋体"/>
                <w:color w:val="000000"/>
                <w:sz w:val="18"/>
                <w:szCs w:val="18"/>
                <w:lang w:val="en-US" w:eastAsia="zh-CN"/>
              </w:rPr>
              <w:t>&lt;10</w:t>
            </w:r>
          </w:p>
        </w:tc>
        <w:tc>
          <w:tcPr>
            <w:tcW w:w="1195" w:type="dxa"/>
            <w:vMerge w:val="continue"/>
            <w:shd w:val="clear" w:color="auto" w:fill="auto"/>
            <w:vAlign w:val="center"/>
          </w:tcPr>
          <w:p w14:paraId="61DBE127">
            <w:pPr>
              <w:jc w:val="center"/>
              <w:rPr>
                <w:rFonts w:hint="eastAsia" w:ascii="宋体" w:hAnsi="宋体" w:eastAsia="宋体" w:cs="宋体"/>
                <w:color w:val="000000"/>
                <w:sz w:val="18"/>
                <w:szCs w:val="18"/>
                <w:lang w:val="en-US" w:eastAsia="zh-CN"/>
              </w:rPr>
            </w:pPr>
          </w:p>
        </w:tc>
      </w:tr>
      <w:tr w14:paraId="3BAAA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15" w:type="dxa"/>
            <w:vMerge w:val="continue"/>
            <w:vAlign w:val="center"/>
          </w:tcPr>
          <w:p w14:paraId="75D3A704">
            <w:pPr>
              <w:jc w:val="center"/>
              <w:rPr>
                <w:rFonts w:hint="eastAsia" w:ascii="宋体" w:hAnsi="宋体" w:eastAsia="宋体" w:cs="宋体"/>
                <w:sz w:val="18"/>
                <w:szCs w:val="18"/>
              </w:rPr>
            </w:pPr>
          </w:p>
        </w:tc>
        <w:tc>
          <w:tcPr>
            <w:tcW w:w="1321" w:type="dxa"/>
            <w:vMerge w:val="continue"/>
            <w:vAlign w:val="center"/>
          </w:tcPr>
          <w:p w14:paraId="48674ADC">
            <w:pPr>
              <w:jc w:val="center"/>
              <w:rPr>
                <w:rFonts w:hint="eastAsia" w:ascii="宋体" w:hAnsi="宋体" w:eastAsia="宋体" w:cs="宋体"/>
                <w:sz w:val="18"/>
                <w:szCs w:val="18"/>
              </w:rPr>
            </w:pPr>
          </w:p>
        </w:tc>
        <w:tc>
          <w:tcPr>
            <w:tcW w:w="1293" w:type="dxa"/>
            <w:vMerge w:val="continue"/>
            <w:vAlign w:val="center"/>
          </w:tcPr>
          <w:p w14:paraId="31FCF5C6">
            <w:pPr>
              <w:jc w:val="center"/>
              <w:rPr>
                <w:rFonts w:hint="eastAsia" w:ascii="宋体" w:hAnsi="宋体" w:eastAsia="宋体" w:cs="宋体"/>
                <w:sz w:val="18"/>
                <w:szCs w:val="18"/>
              </w:rPr>
            </w:pPr>
          </w:p>
        </w:tc>
        <w:tc>
          <w:tcPr>
            <w:tcW w:w="1343" w:type="dxa"/>
            <w:shd w:val="clear" w:color="auto" w:fill="auto"/>
            <w:vAlign w:val="center"/>
          </w:tcPr>
          <w:p w14:paraId="26A65DFB">
            <w:pPr>
              <w:widowControl/>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第三次</w:t>
            </w:r>
          </w:p>
        </w:tc>
        <w:tc>
          <w:tcPr>
            <w:tcW w:w="1195" w:type="dxa"/>
            <w:shd w:val="clear" w:color="auto" w:fill="auto"/>
            <w:vAlign w:val="center"/>
          </w:tcPr>
          <w:p w14:paraId="5A582351">
            <w:pPr>
              <w:jc w:val="center"/>
              <w:rPr>
                <w:rFonts w:hint="eastAsia" w:ascii="宋体" w:hAnsi="宋体" w:eastAsia="宋体" w:cs="宋体"/>
                <w:kern w:val="2"/>
                <w:sz w:val="18"/>
                <w:szCs w:val="18"/>
                <w:lang w:val="en-US" w:eastAsia="zh-CN" w:bidi="ar-SA"/>
              </w:rPr>
            </w:pPr>
            <w:r>
              <w:rPr>
                <w:rFonts w:hint="eastAsia" w:ascii="宋体" w:hAnsi="宋体" w:eastAsia="宋体" w:cs="宋体"/>
                <w:color w:val="000000"/>
                <w:sz w:val="18"/>
                <w:szCs w:val="18"/>
                <w:lang w:val="en-US" w:eastAsia="zh-CN"/>
              </w:rPr>
              <w:t>&lt;10</w:t>
            </w:r>
          </w:p>
        </w:tc>
        <w:tc>
          <w:tcPr>
            <w:tcW w:w="1195" w:type="dxa"/>
            <w:shd w:val="clear" w:color="auto" w:fill="auto"/>
            <w:vAlign w:val="center"/>
          </w:tcPr>
          <w:p w14:paraId="2044BA47">
            <w:pPr>
              <w:jc w:val="center"/>
              <w:rPr>
                <w:rFonts w:hint="eastAsia" w:ascii="宋体" w:hAnsi="宋体" w:eastAsia="宋体" w:cs="宋体"/>
                <w:kern w:val="2"/>
                <w:sz w:val="18"/>
                <w:szCs w:val="18"/>
                <w:lang w:val="en-US" w:eastAsia="zh-CN" w:bidi="ar-SA"/>
              </w:rPr>
            </w:pPr>
            <w:r>
              <w:rPr>
                <w:rFonts w:hint="eastAsia" w:ascii="宋体" w:hAnsi="宋体" w:eastAsia="宋体" w:cs="宋体"/>
                <w:color w:val="000000"/>
                <w:sz w:val="18"/>
                <w:szCs w:val="18"/>
                <w:lang w:val="en-US" w:eastAsia="zh-CN"/>
              </w:rPr>
              <w:t>&lt;10</w:t>
            </w:r>
          </w:p>
        </w:tc>
        <w:tc>
          <w:tcPr>
            <w:tcW w:w="1195" w:type="dxa"/>
            <w:vMerge w:val="continue"/>
            <w:shd w:val="clear" w:color="auto" w:fill="auto"/>
            <w:vAlign w:val="center"/>
          </w:tcPr>
          <w:p w14:paraId="060B649A">
            <w:pPr>
              <w:jc w:val="center"/>
              <w:rPr>
                <w:rFonts w:hint="eastAsia" w:ascii="宋体" w:hAnsi="宋体" w:eastAsia="宋体" w:cs="宋体"/>
                <w:color w:val="000000"/>
                <w:sz w:val="18"/>
                <w:szCs w:val="18"/>
                <w:lang w:val="en-US" w:eastAsia="zh-CN"/>
              </w:rPr>
            </w:pPr>
          </w:p>
        </w:tc>
      </w:tr>
      <w:tr w14:paraId="09B6B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15" w:type="dxa"/>
            <w:vMerge w:val="continue"/>
            <w:vAlign w:val="center"/>
          </w:tcPr>
          <w:p w14:paraId="27B442EA">
            <w:pPr>
              <w:jc w:val="center"/>
              <w:rPr>
                <w:rFonts w:hint="eastAsia" w:ascii="宋体" w:hAnsi="宋体" w:eastAsia="宋体" w:cs="宋体"/>
                <w:sz w:val="18"/>
                <w:szCs w:val="18"/>
              </w:rPr>
            </w:pPr>
          </w:p>
        </w:tc>
        <w:tc>
          <w:tcPr>
            <w:tcW w:w="1321" w:type="dxa"/>
            <w:vMerge w:val="continue"/>
            <w:vAlign w:val="center"/>
          </w:tcPr>
          <w:p w14:paraId="51785EB6">
            <w:pPr>
              <w:jc w:val="center"/>
              <w:rPr>
                <w:rFonts w:hint="eastAsia" w:ascii="宋体" w:hAnsi="宋体" w:eastAsia="宋体" w:cs="宋体"/>
                <w:sz w:val="18"/>
                <w:szCs w:val="18"/>
              </w:rPr>
            </w:pPr>
          </w:p>
        </w:tc>
        <w:tc>
          <w:tcPr>
            <w:tcW w:w="1293" w:type="dxa"/>
            <w:vMerge w:val="continue"/>
            <w:vAlign w:val="center"/>
          </w:tcPr>
          <w:p w14:paraId="5DF120F1">
            <w:pPr>
              <w:jc w:val="center"/>
              <w:rPr>
                <w:rFonts w:hint="eastAsia" w:ascii="宋体" w:hAnsi="宋体" w:eastAsia="宋体" w:cs="宋体"/>
                <w:sz w:val="18"/>
                <w:szCs w:val="18"/>
              </w:rPr>
            </w:pPr>
          </w:p>
        </w:tc>
        <w:tc>
          <w:tcPr>
            <w:tcW w:w="1343" w:type="dxa"/>
            <w:shd w:val="clear" w:color="auto" w:fill="auto"/>
            <w:vAlign w:val="center"/>
          </w:tcPr>
          <w:p w14:paraId="47EFE161">
            <w:pPr>
              <w:widowControl/>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第四次</w:t>
            </w:r>
          </w:p>
        </w:tc>
        <w:tc>
          <w:tcPr>
            <w:tcW w:w="1195" w:type="dxa"/>
            <w:shd w:val="clear" w:color="auto" w:fill="auto"/>
            <w:vAlign w:val="center"/>
          </w:tcPr>
          <w:p w14:paraId="0A1E5E8E">
            <w:pPr>
              <w:jc w:val="center"/>
              <w:rPr>
                <w:rFonts w:hint="eastAsia" w:ascii="宋体" w:hAnsi="宋体" w:eastAsia="宋体" w:cs="宋体"/>
                <w:kern w:val="2"/>
                <w:sz w:val="18"/>
                <w:szCs w:val="18"/>
                <w:lang w:val="en-US" w:eastAsia="zh-CN" w:bidi="ar-SA"/>
              </w:rPr>
            </w:pPr>
            <w:r>
              <w:rPr>
                <w:rFonts w:hint="eastAsia" w:ascii="宋体" w:hAnsi="宋体" w:eastAsia="宋体" w:cs="宋体"/>
                <w:color w:val="000000"/>
                <w:sz w:val="18"/>
                <w:szCs w:val="18"/>
                <w:lang w:val="en-US" w:eastAsia="zh-CN"/>
              </w:rPr>
              <w:t>&lt;10</w:t>
            </w:r>
          </w:p>
        </w:tc>
        <w:tc>
          <w:tcPr>
            <w:tcW w:w="1195" w:type="dxa"/>
            <w:shd w:val="clear" w:color="auto" w:fill="auto"/>
            <w:vAlign w:val="center"/>
          </w:tcPr>
          <w:p w14:paraId="74F399A2">
            <w:pPr>
              <w:jc w:val="center"/>
              <w:rPr>
                <w:rFonts w:hint="eastAsia" w:ascii="宋体" w:hAnsi="宋体" w:eastAsia="宋体" w:cs="宋体"/>
                <w:kern w:val="2"/>
                <w:sz w:val="18"/>
                <w:szCs w:val="18"/>
                <w:lang w:val="en-US" w:eastAsia="zh-CN" w:bidi="ar-SA"/>
              </w:rPr>
            </w:pPr>
            <w:r>
              <w:rPr>
                <w:rFonts w:hint="eastAsia" w:ascii="宋体" w:hAnsi="宋体" w:eastAsia="宋体" w:cs="宋体"/>
                <w:color w:val="000000"/>
                <w:sz w:val="18"/>
                <w:szCs w:val="18"/>
                <w:lang w:val="en-US" w:eastAsia="zh-CN"/>
              </w:rPr>
              <w:t>&lt;10</w:t>
            </w:r>
          </w:p>
        </w:tc>
        <w:tc>
          <w:tcPr>
            <w:tcW w:w="1195" w:type="dxa"/>
            <w:vMerge w:val="continue"/>
            <w:shd w:val="clear" w:color="auto" w:fill="auto"/>
            <w:vAlign w:val="center"/>
          </w:tcPr>
          <w:p w14:paraId="3B08857E">
            <w:pPr>
              <w:jc w:val="center"/>
              <w:rPr>
                <w:rFonts w:hint="eastAsia" w:ascii="宋体" w:hAnsi="宋体" w:eastAsia="宋体" w:cs="宋体"/>
                <w:color w:val="000000"/>
                <w:sz w:val="18"/>
                <w:szCs w:val="18"/>
                <w:lang w:val="en-US" w:eastAsia="zh-CN"/>
              </w:rPr>
            </w:pPr>
          </w:p>
        </w:tc>
      </w:tr>
      <w:tr w14:paraId="13A83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15" w:type="dxa"/>
            <w:vMerge w:val="continue"/>
            <w:vAlign w:val="center"/>
          </w:tcPr>
          <w:p w14:paraId="20A05256">
            <w:pPr>
              <w:jc w:val="center"/>
              <w:rPr>
                <w:rFonts w:hint="eastAsia" w:ascii="宋体" w:hAnsi="宋体" w:eastAsia="宋体" w:cs="宋体"/>
                <w:sz w:val="18"/>
                <w:szCs w:val="18"/>
              </w:rPr>
            </w:pPr>
          </w:p>
        </w:tc>
        <w:tc>
          <w:tcPr>
            <w:tcW w:w="1321" w:type="dxa"/>
            <w:vMerge w:val="continue"/>
            <w:vAlign w:val="center"/>
          </w:tcPr>
          <w:p w14:paraId="48618E0E">
            <w:pPr>
              <w:jc w:val="center"/>
              <w:rPr>
                <w:rFonts w:hint="eastAsia" w:ascii="宋体" w:hAnsi="宋体" w:eastAsia="宋体" w:cs="宋体"/>
                <w:sz w:val="18"/>
                <w:szCs w:val="18"/>
              </w:rPr>
            </w:pPr>
          </w:p>
        </w:tc>
        <w:tc>
          <w:tcPr>
            <w:tcW w:w="1293" w:type="dxa"/>
            <w:vMerge w:val="continue"/>
            <w:vAlign w:val="center"/>
          </w:tcPr>
          <w:p w14:paraId="3A171884">
            <w:pPr>
              <w:jc w:val="center"/>
              <w:rPr>
                <w:rFonts w:hint="eastAsia" w:ascii="宋体" w:hAnsi="宋体" w:eastAsia="宋体" w:cs="宋体"/>
                <w:sz w:val="18"/>
                <w:szCs w:val="18"/>
              </w:rPr>
            </w:pPr>
          </w:p>
        </w:tc>
        <w:tc>
          <w:tcPr>
            <w:tcW w:w="1343" w:type="dxa"/>
            <w:shd w:val="clear" w:color="auto" w:fill="auto"/>
            <w:vAlign w:val="center"/>
          </w:tcPr>
          <w:p w14:paraId="21CC8420">
            <w:pPr>
              <w:widowControl/>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最高值</w:t>
            </w:r>
          </w:p>
        </w:tc>
        <w:tc>
          <w:tcPr>
            <w:tcW w:w="1195" w:type="dxa"/>
            <w:shd w:val="clear" w:color="auto" w:fill="auto"/>
            <w:vAlign w:val="center"/>
          </w:tcPr>
          <w:p w14:paraId="33B0EAFF">
            <w:pPr>
              <w:jc w:val="center"/>
              <w:rPr>
                <w:rFonts w:hint="eastAsia" w:ascii="宋体" w:hAnsi="宋体" w:eastAsia="宋体" w:cs="宋体"/>
                <w:kern w:val="2"/>
                <w:sz w:val="18"/>
                <w:szCs w:val="18"/>
                <w:lang w:val="en-US" w:eastAsia="zh-CN" w:bidi="ar-SA"/>
              </w:rPr>
            </w:pPr>
            <w:r>
              <w:rPr>
                <w:rFonts w:hint="eastAsia" w:ascii="宋体" w:hAnsi="宋体" w:eastAsia="宋体" w:cs="宋体"/>
                <w:color w:val="000000"/>
                <w:sz w:val="18"/>
                <w:szCs w:val="18"/>
                <w:lang w:val="en-US" w:eastAsia="zh-CN"/>
              </w:rPr>
              <w:t>&lt;10</w:t>
            </w:r>
          </w:p>
        </w:tc>
        <w:tc>
          <w:tcPr>
            <w:tcW w:w="1195" w:type="dxa"/>
            <w:shd w:val="clear" w:color="auto" w:fill="auto"/>
            <w:vAlign w:val="center"/>
          </w:tcPr>
          <w:p w14:paraId="66F8A9C6">
            <w:pPr>
              <w:jc w:val="center"/>
              <w:rPr>
                <w:rFonts w:hint="eastAsia" w:ascii="宋体" w:hAnsi="宋体" w:eastAsia="宋体" w:cs="宋体"/>
                <w:kern w:val="2"/>
                <w:sz w:val="18"/>
                <w:szCs w:val="18"/>
                <w:lang w:val="en-US" w:eastAsia="zh-CN" w:bidi="ar-SA"/>
              </w:rPr>
            </w:pPr>
            <w:r>
              <w:rPr>
                <w:rFonts w:hint="eastAsia" w:ascii="宋体" w:hAnsi="宋体" w:eastAsia="宋体" w:cs="宋体"/>
                <w:color w:val="000000"/>
                <w:sz w:val="18"/>
                <w:szCs w:val="18"/>
                <w:lang w:val="en-US" w:eastAsia="zh-CN"/>
              </w:rPr>
              <w:t>&lt;10</w:t>
            </w:r>
          </w:p>
        </w:tc>
        <w:tc>
          <w:tcPr>
            <w:tcW w:w="1195" w:type="dxa"/>
            <w:vMerge w:val="continue"/>
            <w:shd w:val="clear" w:color="auto" w:fill="auto"/>
            <w:vAlign w:val="center"/>
          </w:tcPr>
          <w:p w14:paraId="7E57A3D8">
            <w:pPr>
              <w:jc w:val="center"/>
              <w:rPr>
                <w:rFonts w:hint="eastAsia" w:ascii="宋体" w:hAnsi="宋体" w:eastAsia="宋体" w:cs="宋体"/>
                <w:color w:val="000000"/>
                <w:sz w:val="18"/>
                <w:szCs w:val="18"/>
                <w:lang w:val="en-US" w:eastAsia="zh-CN"/>
              </w:rPr>
            </w:pPr>
          </w:p>
        </w:tc>
      </w:tr>
      <w:tr w14:paraId="4E382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15" w:type="dxa"/>
            <w:vMerge w:val="restart"/>
            <w:vAlign w:val="center"/>
          </w:tcPr>
          <w:p w14:paraId="2A2F9E3E">
            <w:pPr>
              <w:jc w:val="center"/>
              <w:rPr>
                <w:rFonts w:hint="eastAsia" w:ascii="宋体" w:hAnsi="宋体" w:eastAsia="宋体" w:cs="宋体"/>
                <w:sz w:val="18"/>
                <w:szCs w:val="18"/>
              </w:rPr>
            </w:pPr>
            <w:r>
              <w:rPr>
                <w:rFonts w:hint="eastAsia" w:ascii="宋体" w:hAnsi="宋体" w:eastAsia="宋体" w:cs="宋体"/>
                <w:sz w:val="18"/>
                <w:szCs w:val="18"/>
              </w:rPr>
              <w:t>下风向3#</w:t>
            </w:r>
          </w:p>
        </w:tc>
        <w:tc>
          <w:tcPr>
            <w:tcW w:w="1321" w:type="dxa"/>
            <w:vMerge w:val="restart"/>
            <w:shd w:val="clear" w:color="auto" w:fill="auto"/>
            <w:vAlign w:val="center"/>
          </w:tcPr>
          <w:p w14:paraId="23F1D48B">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非甲烷总烃</w:t>
            </w:r>
          </w:p>
          <w:p w14:paraId="0FBF1531">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（以碳计）</w:t>
            </w:r>
          </w:p>
        </w:tc>
        <w:tc>
          <w:tcPr>
            <w:tcW w:w="1293" w:type="dxa"/>
            <w:vMerge w:val="restart"/>
            <w:shd w:val="clear" w:color="auto" w:fill="auto"/>
            <w:vAlign w:val="center"/>
          </w:tcPr>
          <w:p w14:paraId="4380C38E">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气袋</w:t>
            </w:r>
          </w:p>
        </w:tc>
        <w:tc>
          <w:tcPr>
            <w:tcW w:w="1343" w:type="dxa"/>
            <w:vAlign w:val="center"/>
          </w:tcPr>
          <w:p w14:paraId="7513AFC7">
            <w:pPr>
              <w:jc w:val="center"/>
              <w:rPr>
                <w:rFonts w:hint="eastAsia" w:ascii="宋体" w:hAnsi="宋体" w:eastAsia="宋体" w:cs="宋体"/>
                <w:sz w:val="18"/>
                <w:szCs w:val="18"/>
              </w:rPr>
            </w:pPr>
            <w:r>
              <w:rPr>
                <w:rFonts w:hint="eastAsia" w:ascii="宋体" w:hAnsi="宋体" w:eastAsia="宋体" w:cs="宋体"/>
                <w:sz w:val="18"/>
                <w:szCs w:val="18"/>
              </w:rPr>
              <w:t>第一次</w:t>
            </w:r>
          </w:p>
        </w:tc>
        <w:tc>
          <w:tcPr>
            <w:tcW w:w="1195" w:type="dxa"/>
            <w:vAlign w:val="center"/>
          </w:tcPr>
          <w:p w14:paraId="6327BF3B">
            <w:pPr>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1.11</w:t>
            </w:r>
          </w:p>
        </w:tc>
        <w:tc>
          <w:tcPr>
            <w:tcW w:w="1195" w:type="dxa"/>
            <w:vAlign w:val="center"/>
          </w:tcPr>
          <w:p w14:paraId="289490D8">
            <w:pPr>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1.16</w:t>
            </w:r>
          </w:p>
        </w:tc>
        <w:tc>
          <w:tcPr>
            <w:tcW w:w="1195" w:type="dxa"/>
            <w:vMerge w:val="restart"/>
            <w:vAlign w:val="center"/>
          </w:tcPr>
          <w:p w14:paraId="62509B83">
            <w:pPr>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4.0</w:t>
            </w:r>
          </w:p>
        </w:tc>
      </w:tr>
      <w:tr w14:paraId="52F3E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15" w:type="dxa"/>
            <w:vMerge w:val="continue"/>
            <w:vAlign w:val="center"/>
          </w:tcPr>
          <w:p w14:paraId="78C03508">
            <w:pPr>
              <w:jc w:val="center"/>
              <w:rPr>
                <w:rFonts w:hint="eastAsia" w:ascii="宋体" w:hAnsi="宋体" w:eastAsia="宋体" w:cs="宋体"/>
                <w:sz w:val="18"/>
                <w:szCs w:val="18"/>
              </w:rPr>
            </w:pPr>
          </w:p>
        </w:tc>
        <w:tc>
          <w:tcPr>
            <w:tcW w:w="1321" w:type="dxa"/>
            <w:vMerge w:val="continue"/>
            <w:vAlign w:val="center"/>
          </w:tcPr>
          <w:p w14:paraId="79E24473">
            <w:pPr>
              <w:jc w:val="center"/>
              <w:rPr>
                <w:rFonts w:hint="eastAsia" w:ascii="宋体" w:hAnsi="宋体" w:eastAsia="宋体" w:cs="宋体"/>
                <w:sz w:val="18"/>
                <w:szCs w:val="18"/>
              </w:rPr>
            </w:pPr>
          </w:p>
        </w:tc>
        <w:tc>
          <w:tcPr>
            <w:tcW w:w="1293" w:type="dxa"/>
            <w:vMerge w:val="continue"/>
            <w:vAlign w:val="center"/>
          </w:tcPr>
          <w:p w14:paraId="75BC5AC8">
            <w:pPr>
              <w:jc w:val="center"/>
              <w:rPr>
                <w:rFonts w:hint="eastAsia" w:ascii="宋体" w:hAnsi="宋体" w:eastAsia="宋体" w:cs="宋体"/>
                <w:sz w:val="18"/>
                <w:szCs w:val="18"/>
              </w:rPr>
            </w:pPr>
          </w:p>
        </w:tc>
        <w:tc>
          <w:tcPr>
            <w:tcW w:w="1343" w:type="dxa"/>
            <w:vAlign w:val="center"/>
          </w:tcPr>
          <w:p w14:paraId="2C50442E">
            <w:pPr>
              <w:widowControl/>
              <w:jc w:val="center"/>
              <w:rPr>
                <w:rFonts w:hint="eastAsia" w:ascii="宋体" w:hAnsi="宋体" w:eastAsia="宋体" w:cs="宋体"/>
                <w:sz w:val="18"/>
                <w:szCs w:val="18"/>
              </w:rPr>
            </w:pPr>
            <w:r>
              <w:rPr>
                <w:rFonts w:hint="eastAsia" w:ascii="宋体" w:hAnsi="宋体" w:eastAsia="宋体" w:cs="宋体"/>
                <w:sz w:val="18"/>
                <w:szCs w:val="18"/>
              </w:rPr>
              <w:t>第二次</w:t>
            </w:r>
          </w:p>
        </w:tc>
        <w:tc>
          <w:tcPr>
            <w:tcW w:w="1195" w:type="dxa"/>
            <w:shd w:val="clear" w:color="auto" w:fill="auto"/>
            <w:vAlign w:val="center"/>
          </w:tcPr>
          <w:p w14:paraId="2E68194C">
            <w:pPr>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2"/>
                <w:sz w:val="18"/>
                <w:szCs w:val="18"/>
                <w:lang w:val="en-US" w:eastAsia="zh-CN" w:bidi="ar-SA"/>
              </w:rPr>
              <w:t>1.14</w:t>
            </w:r>
          </w:p>
        </w:tc>
        <w:tc>
          <w:tcPr>
            <w:tcW w:w="1195" w:type="dxa"/>
            <w:vAlign w:val="center"/>
          </w:tcPr>
          <w:p w14:paraId="5275575A">
            <w:pPr>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1.11</w:t>
            </w:r>
          </w:p>
        </w:tc>
        <w:tc>
          <w:tcPr>
            <w:tcW w:w="1195" w:type="dxa"/>
            <w:vMerge w:val="continue"/>
            <w:shd w:val="clear" w:color="auto" w:fill="auto"/>
            <w:vAlign w:val="center"/>
          </w:tcPr>
          <w:p w14:paraId="170971C4">
            <w:pPr>
              <w:jc w:val="center"/>
              <w:rPr>
                <w:rFonts w:hint="eastAsia" w:ascii="宋体" w:hAnsi="宋体" w:eastAsia="宋体" w:cs="宋体"/>
                <w:color w:val="000000"/>
                <w:sz w:val="18"/>
                <w:szCs w:val="18"/>
                <w:lang w:val="en-US" w:eastAsia="zh-CN"/>
              </w:rPr>
            </w:pPr>
          </w:p>
        </w:tc>
      </w:tr>
      <w:tr w14:paraId="36CA0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15" w:type="dxa"/>
            <w:vMerge w:val="continue"/>
            <w:vAlign w:val="center"/>
          </w:tcPr>
          <w:p w14:paraId="7093F63E">
            <w:pPr>
              <w:jc w:val="center"/>
              <w:rPr>
                <w:rFonts w:hint="eastAsia" w:ascii="宋体" w:hAnsi="宋体" w:eastAsia="宋体" w:cs="宋体"/>
                <w:sz w:val="18"/>
                <w:szCs w:val="18"/>
              </w:rPr>
            </w:pPr>
          </w:p>
        </w:tc>
        <w:tc>
          <w:tcPr>
            <w:tcW w:w="1321" w:type="dxa"/>
            <w:vMerge w:val="continue"/>
            <w:vAlign w:val="center"/>
          </w:tcPr>
          <w:p w14:paraId="31C34C1A">
            <w:pPr>
              <w:jc w:val="center"/>
              <w:rPr>
                <w:rFonts w:hint="eastAsia" w:ascii="宋体" w:hAnsi="宋体" w:eastAsia="宋体" w:cs="宋体"/>
                <w:sz w:val="18"/>
                <w:szCs w:val="18"/>
              </w:rPr>
            </w:pPr>
          </w:p>
        </w:tc>
        <w:tc>
          <w:tcPr>
            <w:tcW w:w="1293" w:type="dxa"/>
            <w:vMerge w:val="continue"/>
            <w:vAlign w:val="center"/>
          </w:tcPr>
          <w:p w14:paraId="4304DC6F">
            <w:pPr>
              <w:jc w:val="center"/>
              <w:rPr>
                <w:rFonts w:hint="eastAsia" w:ascii="宋体" w:hAnsi="宋体" w:eastAsia="宋体" w:cs="宋体"/>
                <w:sz w:val="18"/>
                <w:szCs w:val="18"/>
              </w:rPr>
            </w:pPr>
          </w:p>
        </w:tc>
        <w:tc>
          <w:tcPr>
            <w:tcW w:w="1343" w:type="dxa"/>
            <w:vAlign w:val="center"/>
          </w:tcPr>
          <w:p w14:paraId="06EDAB9F">
            <w:pPr>
              <w:widowControl/>
              <w:jc w:val="center"/>
              <w:rPr>
                <w:rFonts w:hint="eastAsia" w:ascii="宋体" w:hAnsi="宋体" w:eastAsia="宋体" w:cs="宋体"/>
                <w:sz w:val="18"/>
                <w:szCs w:val="18"/>
              </w:rPr>
            </w:pPr>
            <w:r>
              <w:rPr>
                <w:rFonts w:hint="eastAsia" w:ascii="宋体" w:hAnsi="宋体" w:eastAsia="宋体" w:cs="宋体"/>
                <w:sz w:val="18"/>
                <w:szCs w:val="18"/>
              </w:rPr>
              <w:t>第三次</w:t>
            </w:r>
          </w:p>
        </w:tc>
        <w:tc>
          <w:tcPr>
            <w:tcW w:w="1195" w:type="dxa"/>
            <w:shd w:val="clear" w:color="auto" w:fill="auto"/>
            <w:vAlign w:val="center"/>
          </w:tcPr>
          <w:p w14:paraId="61CC390A">
            <w:pPr>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2"/>
                <w:sz w:val="18"/>
                <w:szCs w:val="18"/>
                <w:lang w:val="en-US" w:eastAsia="zh-CN" w:bidi="ar-SA"/>
              </w:rPr>
              <w:t>1.13</w:t>
            </w:r>
          </w:p>
        </w:tc>
        <w:tc>
          <w:tcPr>
            <w:tcW w:w="1195" w:type="dxa"/>
            <w:vAlign w:val="center"/>
          </w:tcPr>
          <w:p w14:paraId="7664EC62">
            <w:pPr>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1.14</w:t>
            </w:r>
          </w:p>
        </w:tc>
        <w:tc>
          <w:tcPr>
            <w:tcW w:w="1195" w:type="dxa"/>
            <w:vMerge w:val="continue"/>
            <w:shd w:val="clear" w:color="auto" w:fill="auto"/>
            <w:vAlign w:val="center"/>
          </w:tcPr>
          <w:p w14:paraId="7FD76B03">
            <w:pPr>
              <w:jc w:val="center"/>
              <w:rPr>
                <w:rFonts w:hint="eastAsia" w:ascii="宋体" w:hAnsi="宋体" w:eastAsia="宋体" w:cs="宋体"/>
                <w:color w:val="000000"/>
                <w:sz w:val="18"/>
                <w:szCs w:val="18"/>
                <w:lang w:val="en-US" w:eastAsia="zh-CN"/>
              </w:rPr>
            </w:pPr>
          </w:p>
        </w:tc>
      </w:tr>
      <w:tr w14:paraId="760B6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15" w:type="dxa"/>
            <w:vMerge w:val="continue"/>
            <w:vAlign w:val="center"/>
          </w:tcPr>
          <w:p w14:paraId="36E9B552">
            <w:pPr>
              <w:jc w:val="center"/>
              <w:rPr>
                <w:rFonts w:hint="eastAsia" w:ascii="宋体" w:hAnsi="宋体" w:eastAsia="宋体" w:cs="宋体"/>
                <w:sz w:val="18"/>
                <w:szCs w:val="18"/>
              </w:rPr>
            </w:pPr>
          </w:p>
        </w:tc>
        <w:tc>
          <w:tcPr>
            <w:tcW w:w="1321" w:type="dxa"/>
            <w:vMerge w:val="continue"/>
            <w:vAlign w:val="center"/>
          </w:tcPr>
          <w:p w14:paraId="570099E3">
            <w:pPr>
              <w:jc w:val="center"/>
              <w:rPr>
                <w:rFonts w:hint="eastAsia" w:ascii="宋体" w:hAnsi="宋体" w:eastAsia="宋体" w:cs="宋体"/>
                <w:sz w:val="18"/>
                <w:szCs w:val="18"/>
              </w:rPr>
            </w:pPr>
          </w:p>
        </w:tc>
        <w:tc>
          <w:tcPr>
            <w:tcW w:w="1293" w:type="dxa"/>
            <w:vMerge w:val="continue"/>
            <w:vAlign w:val="center"/>
          </w:tcPr>
          <w:p w14:paraId="1A631601">
            <w:pPr>
              <w:jc w:val="center"/>
              <w:rPr>
                <w:rFonts w:hint="eastAsia" w:ascii="宋体" w:hAnsi="宋体" w:eastAsia="宋体" w:cs="宋体"/>
                <w:sz w:val="18"/>
                <w:szCs w:val="18"/>
              </w:rPr>
            </w:pPr>
          </w:p>
        </w:tc>
        <w:tc>
          <w:tcPr>
            <w:tcW w:w="1343" w:type="dxa"/>
            <w:vAlign w:val="center"/>
          </w:tcPr>
          <w:p w14:paraId="066B220A">
            <w:pPr>
              <w:widowControl/>
              <w:jc w:val="center"/>
              <w:rPr>
                <w:rFonts w:hint="eastAsia" w:ascii="宋体" w:hAnsi="宋体" w:eastAsia="宋体" w:cs="宋体"/>
                <w:sz w:val="18"/>
                <w:szCs w:val="18"/>
              </w:rPr>
            </w:pPr>
            <w:r>
              <w:rPr>
                <w:rFonts w:hint="eastAsia" w:ascii="宋体" w:hAnsi="宋体" w:eastAsia="宋体" w:cs="宋体"/>
                <w:sz w:val="18"/>
                <w:szCs w:val="18"/>
                <w:lang w:val="en-US" w:eastAsia="zh-CN"/>
              </w:rPr>
              <w:t>第四次</w:t>
            </w:r>
          </w:p>
        </w:tc>
        <w:tc>
          <w:tcPr>
            <w:tcW w:w="1195" w:type="dxa"/>
            <w:shd w:val="clear" w:color="auto" w:fill="auto"/>
            <w:vAlign w:val="center"/>
          </w:tcPr>
          <w:p w14:paraId="491335A6">
            <w:pPr>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2"/>
                <w:sz w:val="18"/>
                <w:szCs w:val="18"/>
                <w:lang w:val="en-US" w:eastAsia="zh-CN" w:bidi="ar-SA"/>
              </w:rPr>
              <w:t>1.11</w:t>
            </w:r>
          </w:p>
        </w:tc>
        <w:tc>
          <w:tcPr>
            <w:tcW w:w="1195" w:type="dxa"/>
            <w:vAlign w:val="center"/>
          </w:tcPr>
          <w:p w14:paraId="393444AD">
            <w:pPr>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1.14</w:t>
            </w:r>
          </w:p>
        </w:tc>
        <w:tc>
          <w:tcPr>
            <w:tcW w:w="1195" w:type="dxa"/>
            <w:vMerge w:val="continue"/>
            <w:shd w:val="clear" w:color="auto" w:fill="auto"/>
            <w:vAlign w:val="center"/>
          </w:tcPr>
          <w:p w14:paraId="699CC6B7">
            <w:pPr>
              <w:jc w:val="center"/>
              <w:rPr>
                <w:rFonts w:hint="eastAsia" w:ascii="宋体" w:hAnsi="宋体" w:eastAsia="宋体" w:cs="宋体"/>
                <w:color w:val="000000"/>
                <w:sz w:val="18"/>
                <w:szCs w:val="18"/>
                <w:lang w:val="en-US" w:eastAsia="zh-CN"/>
              </w:rPr>
            </w:pPr>
          </w:p>
        </w:tc>
      </w:tr>
      <w:tr w14:paraId="169D1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15" w:type="dxa"/>
            <w:vMerge w:val="continue"/>
            <w:vAlign w:val="center"/>
          </w:tcPr>
          <w:p w14:paraId="221C241D">
            <w:pPr>
              <w:jc w:val="center"/>
              <w:rPr>
                <w:rFonts w:hint="eastAsia" w:ascii="宋体" w:hAnsi="宋体" w:eastAsia="宋体" w:cs="宋体"/>
                <w:sz w:val="18"/>
                <w:szCs w:val="18"/>
              </w:rPr>
            </w:pPr>
          </w:p>
        </w:tc>
        <w:tc>
          <w:tcPr>
            <w:tcW w:w="1321" w:type="dxa"/>
            <w:vMerge w:val="continue"/>
            <w:vAlign w:val="center"/>
          </w:tcPr>
          <w:p w14:paraId="40AA98BF">
            <w:pPr>
              <w:jc w:val="center"/>
              <w:rPr>
                <w:rFonts w:hint="eastAsia" w:ascii="宋体" w:hAnsi="宋体" w:eastAsia="宋体" w:cs="宋体"/>
                <w:sz w:val="18"/>
                <w:szCs w:val="18"/>
              </w:rPr>
            </w:pPr>
          </w:p>
        </w:tc>
        <w:tc>
          <w:tcPr>
            <w:tcW w:w="1293" w:type="dxa"/>
            <w:vMerge w:val="continue"/>
            <w:vAlign w:val="center"/>
          </w:tcPr>
          <w:p w14:paraId="445D9BEA">
            <w:pPr>
              <w:jc w:val="center"/>
              <w:rPr>
                <w:rFonts w:hint="eastAsia" w:ascii="宋体" w:hAnsi="宋体" w:eastAsia="宋体" w:cs="宋体"/>
                <w:sz w:val="18"/>
                <w:szCs w:val="18"/>
              </w:rPr>
            </w:pPr>
          </w:p>
        </w:tc>
        <w:tc>
          <w:tcPr>
            <w:tcW w:w="1343" w:type="dxa"/>
            <w:vAlign w:val="center"/>
          </w:tcPr>
          <w:p w14:paraId="131F2961">
            <w:pPr>
              <w:widowControl/>
              <w:jc w:val="center"/>
              <w:rPr>
                <w:rFonts w:hint="eastAsia" w:ascii="宋体" w:hAnsi="宋体" w:eastAsia="宋体" w:cs="宋体"/>
                <w:sz w:val="18"/>
                <w:szCs w:val="18"/>
              </w:rPr>
            </w:pPr>
            <w:r>
              <w:rPr>
                <w:rFonts w:hint="eastAsia" w:ascii="宋体" w:hAnsi="宋体" w:eastAsia="宋体" w:cs="宋体"/>
                <w:sz w:val="18"/>
                <w:szCs w:val="18"/>
              </w:rPr>
              <w:t>最高值</w:t>
            </w:r>
          </w:p>
        </w:tc>
        <w:tc>
          <w:tcPr>
            <w:tcW w:w="1195" w:type="dxa"/>
            <w:vAlign w:val="center"/>
          </w:tcPr>
          <w:p w14:paraId="70FC5928">
            <w:pPr>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1.14</w:t>
            </w:r>
          </w:p>
        </w:tc>
        <w:tc>
          <w:tcPr>
            <w:tcW w:w="1195" w:type="dxa"/>
            <w:vAlign w:val="center"/>
          </w:tcPr>
          <w:p w14:paraId="18693F8F">
            <w:pPr>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1.16</w:t>
            </w:r>
          </w:p>
        </w:tc>
        <w:tc>
          <w:tcPr>
            <w:tcW w:w="1195" w:type="dxa"/>
            <w:vMerge w:val="continue"/>
            <w:vAlign w:val="center"/>
          </w:tcPr>
          <w:p w14:paraId="5FB19A37">
            <w:pPr>
              <w:jc w:val="center"/>
              <w:rPr>
                <w:rFonts w:hint="eastAsia" w:ascii="宋体" w:hAnsi="宋体" w:eastAsia="宋体" w:cs="宋体"/>
                <w:color w:val="000000"/>
                <w:sz w:val="18"/>
                <w:szCs w:val="18"/>
                <w:lang w:val="en-US" w:eastAsia="zh-CN"/>
              </w:rPr>
            </w:pPr>
          </w:p>
        </w:tc>
      </w:tr>
      <w:tr w14:paraId="58906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15" w:type="dxa"/>
            <w:vMerge w:val="continue"/>
            <w:vAlign w:val="center"/>
          </w:tcPr>
          <w:p w14:paraId="40F67C7F">
            <w:pPr>
              <w:jc w:val="center"/>
              <w:rPr>
                <w:rFonts w:hint="eastAsia" w:ascii="宋体" w:hAnsi="宋体" w:eastAsia="宋体" w:cs="宋体"/>
                <w:sz w:val="18"/>
                <w:szCs w:val="18"/>
              </w:rPr>
            </w:pPr>
          </w:p>
        </w:tc>
        <w:tc>
          <w:tcPr>
            <w:tcW w:w="1321" w:type="dxa"/>
            <w:vMerge w:val="restart"/>
            <w:shd w:val="clear" w:color="auto" w:fill="auto"/>
            <w:vAlign w:val="center"/>
          </w:tcPr>
          <w:p w14:paraId="5B47DEDE">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臭气浓度</w:t>
            </w:r>
          </w:p>
          <w:p w14:paraId="3881F655">
            <w:pPr>
              <w:jc w:val="center"/>
              <w:rPr>
                <w:rFonts w:hint="eastAsia" w:ascii="宋体" w:hAnsi="宋体" w:eastAsia="宋体" w:cs="宋体"/>
                <w:sz w:val="18"/>
                <w:szCs w:val="18"/>
              </w:rPr>
            </w:pPr>
            <w:r>
              <w:rPr>
                <w:rFonts w:hint="eastAsia" w:ascii="宋体" w:hAnsi="宋体" w:eastAsia="宋体" w:cs="宋体"/>
                <w:sz w:val="18"/>
                <w:szCs w:val="18"/>
                <w:lang w:val="en-US" w:eastAsia="zh-CN"/>
              </w:rPr>
              <w:t>（无量纲）</w:t>
            </w:r>
          </w:p>
        </w:tc>
        <w:tc>
          <w:tcPr>
            <w:tcW w:w="1293" w:type="dxa"/>
            <w:vMerge w:val="restart"/>
            <w:shd w:val="clear" w:color="auto" w:fill="auto"/>
            <w:vAlign w:val="center"/>
          </w:tcPr>
          <w:p w14:paraId="06C8ABC9">
            <w:pPr>
              <w:jc w:val="center"/>
              <w:rPr>
                <w:rFonts w:hint="eastAsia" w:ascii="宋体" w:hAnsi="宋体" w:eastAsia="宋体" w:cs="宋体"/>
                <w:sz w:val="18"/>
                <w:szCs w:val="18"/>
              </w:rPr>
            </w:pPr>
            <w:r>
              <w:rPr>
                <w:rFonts w:hint="eastAsia" w:ascii="宋体" w:hAnsi="宋体" w:eastAsia="宋体" w:cs="宋体"/>
                <w:sz w:val="18"/>
                <w:szCs w:val="18"/>
                <w:lang w:val="en-US" w:eastAsia="zh-CN"/>
              </w:rPr>
              <w:t>气瓶</w:t>
            </w:r>
          </w:p>
        </w:tc>
        <w:tc>
          <w:tcPr>
            <w:tcW w:w="1343" w:type="dxa"/>
            <w:shd w:val="clear" w:color="auto" w:fill="auto"/>
            <w:vAlign w:val="center"/>
          </w:tcPr>
          <w:p w14:paraId="645F2CB0">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第一次</w:t>
            </w:r>
          </w:p>
        </w:tc>
        <w:tc>
          <w:tcPr>
            <w:tcW w:w="1195" w:type="dxa"/>
            <w:shd w:val="clear" w:color="auto" w:fill="auto"/>
            <w:vAlign w:val="center"/>
          </w:tcPr>
          <w:p w14:paraId="3FCAABFF">
            <w:pPr>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&lt;10</w:t>
            </w:r>
          </w:p>
        </w:tc>
        <w:tc>
          <w:tcPr>
            <w:tcW w:w="1195" w:type="dxa"/>
            <w:shd w:val="clear" w:color="auto" w:fill="auto"/>
            <w:vAlign w:val="center"/>
          </w:tcPr>
          <w:p w14:paraId="61A266B2">
            <w:pPr>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&lt;10</w:t>
            </w:r>
          </w:p>
        </w:tc>
        <w:tc>
          <w:tcPr>
            <w:tcW w:w="1195" w:type="dxa"/>
            <w:vMerge w:val="restart"/>
            <w:shd w:val="clear" w:color="auto" w:fill="auto"/>
            <w:vAlign w:val="center"/>
          </w:tcPr>
          <w:p w14:paraId="5587DCA2">
            <w:pPr>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w:t>
            </w:r>
          </w:p>
        </w:tc>
      </w:tr>
      <w:tr w14:paraId="6A64E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15" w:type="dxa"/>
            <w:vMerge w:val="continue"/>
            <w:vAlign w:val="center"/>
          </w:tcPr>
          <w:p w14:paraId="07079864">
            <w:pPr>
              <w:jc w:val="center"/>
              <w:rPr>
                <w:rFonts w:hint="eastAsia" w:ascii="宋体" w:hAnsi="宋体" w:eastAsia="宋体" w:cs="宋体"/>
                <w:sz w:val="18"/>
                <w:szCs w:val="18"/>
              </w:rPr>
            </w:pPr>
          </w:p>
        </w:tc>
        <w:tc>
          <w:tcPr>
            <w:tcW w:w="1321" w:type="dxa"/>
            <w:vMerge w:val="continue"/>
            <w:vAlign w:val="center"/>
          </w:tcPr>
          <w:p w14:paraId="3A5F8A6D">
            <w:pPr>
              <w:jc w:val="center"/>
              <w:rPr>
                <w:rFonts w:hint="eastAsia" w:ascii="宋体" w:hAnsi="宋体" w:eastAsia="宋体" w:cs="宋体"/>
                <w:sz w:val="18"/>
                <w:szCs w:val="18"/>
              </w:rPr>
            </w:pPr>
          </w:p>
        </w:tc>
        <w:tc>
          <w:tcPr>
            <w:tcW w:w="1293" w:type="dxa"/>
            <w:vMerge w:val="continue"/>
            <w:vAlign w:val="center"/>
          </w:tcPr>
          <w:p w14:paraId="044118FB">
            <w:pPr>
              <w:jc w:val="center"/>
              <w:rPr>
                <w:rFonts w:hint="eastAsia" w:ascii="宋体" w:hAnsi="宋体" w:eastAsia="宋体" w:cs="宋体"/>
                <w:sz w:val="18"/>
                <w:szCs w:val="18"/>
              </w:rPr>
            </w:pPr>
          </w:p>
        </w:tc>
        <w:tc>
          <w:tcPr>
            <w:tcW w:w="1343" w:type="dxa"/>
            <w:shd w:val="clear" w:color="auto" w:fill="auto"/>
            <w:vAlign w:val="center"/>
          </w:tcPr>
          <w:p w14:paraId="72059E83">
            <w:pPr>
              <w:widowControl/>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第二次</w:t>
            </w:r>
          </w:p>
        </w:tc>
        <w:tc>
          <w:tcPr>
            <w:tcW w:w="1195" w:type="dxa"/>
            <w:shd w:val="clear" w:color="auto" w:fill="auto"/>
            <w:vAlign w:val="center"/>
          </w:tcPr>
          <w:p w14:paraId="23BB594C">
            <w:pPr>
              <w:jc w:val="center"/>
              <w:rPr>
                <w:rFonts w:hint="eastAsia" w:ascii="宋体" w:hAnsi="宋体" w:eastAsia="宋体" w:cs="宋体"/>
                <w:kern w:val="2"/>
                <w:sz w:val="18"/>
                <w:szCs w:val="18"/>
                <w:lang w:val="en-US" w:eastAsia="zh-CN" w:bidi="ar-SA"/>
              </w:rPr>
            </w:pPr>
            <w:r>
              <w:rPr>
                <w:rFonts w:hint="eastAsia" w:ascii="宋体" w:hAnsi="宋体" w:eastAsia="宋体" w:cs="宋体"/>
                <w:color w:val="000000"/>
                <w:sz w:val="18"/>
                <w:szCs w:val="18"/>
                <w:lang w:val="en-US" w:eastAsia="zh-CN"/>
              </w:rPr>
              <w:t>&lt;10</w:t>
            </w:r>
          </w:p>
        </w:tc>
        <w:tc>
          <w:tcPr>
            <w:tcW w:w="1195" w:type="dxa"/>
            <w:shd w:val="clear" w:color="auto" w:fill="auto"/>
            <w:vAlign w:val="center"/>
          </w:tcPr>
          <w:p w14:paraId="06DF7B65">
            <w:pPr>
              <w:jc w:val="center"/>
              <w:rPr>
                <w:rFonts w:hint="eastAsia" w:ascii="宋体" w:hAnsi="宋体" w:eastAsia="宋体" w:cs="宋体"/>
                <w:kern w:val="2"/>
                <w:sz w:val="18"/>
                <w:szCs w:val="18"/>
                <w:lang w:val="en-US" w:eastAsia="zh-CN" w:bidi="ar-SA"/>
              </w:rPr>
            </w:pPr>
            <w:r>
              <w:rPr>
                <w:rFonts w:hint="eastAsia" w:ascii="宋体" w:hAnsi="宋体" w:eastAsia="宋体" w:cs="宋体"/>
                <w:color w:val="000000"/>
                <w:sz w:val="18"/>
                <w:szCs w:val="18"/>
                <w:lang w:val="en-US" w:eastAsia="zh-CN"/>
              </w:rPr>
              <w:t>&lt;10</w:t>
            </w:r>
          </w:p>
        </w:tc>
        <w:tc>
          <w:tcPr>
            <w:tcW w:w="1195" w:type="dxa"/>
            <w:vMerge w:val="continue"/>
            <w:shd w:val="clear" w:color="auto" w:fill="auto"/>
            <w:vAlign w:val="center"/>
          </w:tcPr>
          <w:p w14:paraId="6CF9ABAD">
            <w:pPr>
              <w:jc w:val="center"/>
              <w:rPr>
                <w:rFonts w:hint="eastAsia" w:ascii="宋体" w:hAnsi="宋体" w:eastAsia="宋体" w:cs="宋体"/>
                <w:color w:val="000000"/>
                <w:sz w:val="18"/>
                <w:szCs w:val="18"/>
                <w:lang w:val="en-US" w:eastAsia="zh-CN"/>
              </w:rPr>
            </w:pPr>
          </w:p>
        </w:tc>
      </w:tr>
      <w:tr w14:paraId="2AD3F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15" w:type="dxa"/>
            <w:vMerge w:val="continue"/>
            <w:vAlign w:val="center"/>
          </w:tcPr>
          <w:p w14:paraId="51DFD788">
            <w:pPr>
              <w:jc w:val="center"/>
              <w:rPr>
                <w:rFonts w:hint="eastAsia" w:ascii="宋体" w:hAnsi="宋体" w:eastAsia="宋体" w:cs="宋体"/>
                <w:sz w:val="18"/>
                <w:szCs w:val="18"/>
              </w:rPr>
            </w:pPr>
          </w:p>
        </w:tc>
        <w:tc>
          <w:tcPr>
            <w:tcW w:w="1321" w:type="dxa"/>
            <w:vMerge w:val="continue"/>
            <w:vAlign w:val="center"/>
          </w:tcPr>
          <w:p w14:paraId="5C05BA65">
            <w:pPr>
              <w:jc w:val="center"/>
              <w:rPr>
                <w:rFonts w:hint="eastAsia" w:ascii="宋体" w:hAnsi="宋体" w:eastAsia="宋体" w:cs="宋体"/>
                <w:sz w:val="18"/>
                <w:szCs w:val="18"/>
              </w:rPr>
            </w:pPr>
          </w:p>
        </w:tc>
        <w:tc>
          <w:tcPr>
            <w:tcW w:w="1293" w:type="dxa"/>
            <w:vMerge w:val="continue"/>
            <w:vAlign w:val="center"/>
          </w:tcPr>
          <w:p w14:paraId="5DAE42B8">
            <w:pPr>
              <w:jc w:val="center"/>
              <w:rPr>
                <w:rFonts w:hint="eastAsia" w:ascii="宋体" w:hAnsi="宋体" w:eastAsia="宋体" w:cs="宋体"/>
                <w:sz w:val="18"/>
                <w:szCs w:val="18"/>
              </w:rPr>
            </w:pPr>
          </w:p>
        </w:tc>
        <w:tc>
          <w:tcPr>
            <w:tcW w:w="1343" w:type="dxa"/>
            <w:shd w:val="clear" w:color="auto" w:fill="auto"/>
            <w:vAlign w:val="center"/>
          </w:tcPr>
          <w:p w14:paraId="75C9271C">
            <w:pPr>
              <w:widowControl/>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第三次</w:t>
            </w:r>
          </w:p>
        </w:tc>
        <w:tc>
          <w:tcPr>
            <w:tcW w:w="1195" w:type="dxa"/>
            <w:shd w:val="clear" w:color="auto" w:fill="auto"/>
            <w:vAlign w:val="center"/>
          </w:tcPr>
          <w:p w14:paraId="225A7FBE">
            <w:pPr>
              <w:jc w:val="center"/>
              <w:rPr>
                <w:rFonts w:hint="eastAsia" w:ascii="宋体" w:hAnsi="宋体" w:eastAsia="宋体" w:cs="宋体"/>
                <w:kern w:val="2"/>
                <w:sz w:val="18"/>
                <w:szCs w:val="18"/>
                <w:lang w:val="en-US" w:eastAsia="zh-CN" w:bidi="ar-SA"/>
              </w:rPr>
            </w:pPr>
            <w:r>
              <w:rPr>
                <w:rFonts w:hint="eastAsia" w:ascii="宋体" w:hAnsi="宋体" w:eastAsia="宋体" w:cs="宋体"/>
                <w:color w:val="000000"/>
                <w:sz w:val="18"/>
                <w:szCs w:val="18"/>
                <w:lang w:val="en-US" w:eastAsia="zh-CN"/>
              </w:rPr>
              <w:t>&lt;10</w:t>
            </w:r>
          </w:p>
        </w:tc>
        <w:tc>
          <w:tcPr>
            <w:tcW w:w="1195" w:type="dxa"/>
            <w:shd w:val="clear" w:color="auto" w:fill="auto"/>
            <w:vAlign w:val="center"/>
          </w:tcPr>
          <w:p w14:paraId="73290157">
            <w:pPr>
              <w:jc w:val="center"/>
              <w:rPr>
                <w:rFonts w:hint="eastAsia" w:ascii="宋体" w:hAnsi="宋体" w:eastAsia="宋体" w:cs="宋体"/>
                <w:kern w:val="2"/>
                <w:sz w:val="18"/>
                <w:szCs w:val="18"/>
                <w:lang w:val="en-US" w:eastAsia="zh-CN" w:bidi="ar-SA"/>
              </w:rPr>
            </w:pPr>
            <w:r>
              <w:rPr>
                <w:rFonts w:hint="eastAsia" w:ascii="宋体" w:hAnsi="宋体" w:eastAsia="宋体" w:cs="宋体"/>
                <w:color w:val="000000"/>
                <w:sz w:val="18"/>
                <w:szCs w:val="18"/>
                <w:lang w:val="en-US" w:eastAsia="zh-CN"/>
              </w:rPr>
              <w:t>&lt;10</w:t>
            </w:r>
          </w:p>
        </w:tc>
        <w:tc>
          <w:tcPr>
            <w:tcW w:w="1195" w:type="dxa"/>
            <w:vMerge w:val="continue"/>
            <w:shd w:val="clear" w:color="auto" w:fill="auto"/>
            <w:vAlign w:val="center"/>
          </w:tcPr>
          <w:p w14:paraId="25CB2B0E">
            <w:pPr>
              <w:jc w:val="center"/>
              <w:rPr>
                <w:rFonts w:hint="eastAsia" w:ascii="宋体" w:hAnsi="宋体" w:eastAsia="宋体" w:cs="宋体"/>
                <w:color w:val="000000"/>
                <w:sz w:val="18"/>
                <w:szCs w:val="18"/>
                <w:lang w:val="en-US" w:eastAsia="zh-CN"/>
              </w:rPr>
            </w:pPr>
          </w:p>
        </w:tc>
      </w:tr>
      <w:tr w14:paraId="5E49B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15" w:type="dxa"/>
            <w:vMerge w:val="continue"/>
            <w:vAlign w:val="center"/>
          </w:tcPr>
          <w:p w14:paraId="65147632">
            <w:pPr>
              <w:jc w:val="center"/>
              <w:rPr>
                <w:rFonts w:hint="eastAsia" w:ascii="宋体" w:hAnsi="宋体" w:eastAsia="宋体" w:cs="宋体"/>
                <w:sz w:val="18"/>
                <w:szCs w:val="18"/>
              </w:rPr>
            </w:pPr>
          </w:p>
        </w:tc>
        <w:tc>
          <w:tcPr>
            <w:tcW w:w="1321" w:type="dxa"/>
            <w:vMerge w:val="continue"/>
            <w:vAlign w:val="center"/>
          </w:tcPr>
          <w:p w14:paraId="1F61FD60">
            <w:pPr>
              <w:jc w:val="center"/>
              <w:rPr>
                <w:rFonts w:hint="eastAsia" w:ascii="宋体" w:hAnsi="宋体" w:eastAsia="宋体" w:cs="宋体"/>
                <w:sz w:val="18"/>
                <w:szCs w:val="18"/>
              </w:rPr>
            </w:pPr>
          </w:p>
        </w:tc>
        <w:tc>
          <w:tcPr>
            <w:tcW w:w="1293" w:type="dxa"/>
            <w:vMerge w:val="continue"/>
            <w:vAlign w:val="center"/>
          </w:tcPr>
          <w:p w14:paraId="5D235F11">
            <w:pPr>
              <w:jc w:val="center"/>
              <w:rPr>
                <w:rFonts w:hint="eastAsia" w:ascii="宋体" w:hAnsi="宋体" w:eastAsia="宋体" w:cs="宋体"/>
                <w:sz w:val="18"/>
                <w:szCs w:val="18"/>
              </w:rPr>
            </w:pPr>
          </w:p>
        </w:tc>
        <w:tc>
          <w:tcPr>
            <w:tcW w:w="1343" w:type="dxa"/>
            <w:shd w:val="clear" w:color="auto" w:fill="auto"/>
            <w:vAlign w:val="center"/>
          </w:tcPr>
          <w:p w14:paraId="2705E15C">
            <w:pPr>
              <w:widowControl/>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第四次</w:t>
            </w:r>
          </w:p>
        </w:tc>
        <w:tc>
          <w:tcPr>
            <w:tcW w:w="1195" w:type="dxa"/>
            <w:shd w:val="clear" w:color="auto" w:fill="auto"/>
            <w:vAlign w:val="center"/>
          </w:tcPr>
          <w:p w14:paraId="5083B704">
            <w:pPr>
              <w:jc w:val="center"/>
              <w:rPr>
                <w:rFonts w:hint="eastAsia" w:ascii="宋体" w:hAnsi="宋体" w:eastAsia="宋体" w:cs="宋体"/>
                <w:kern w:val="2"/>
                <w:sz w:val="18"/>
                <w:szCs w:val="18"/>
                <w:lang w:val="en-US" w:eastAsia="zh-CN" w:bidi="ar-SA"/>
              </w:rPr>
            </w:pPr>
            <w:r>
              <w:rPr>
                <w:rFonts w:hint="eastAsia" w:ascii="宋体" w:hAnsi="宋体" w:eastAsia="宋体" w:cs="宋体"/>
                <w:color w:val="000000"/>
                <w:sz w:val="18"/>
                <w:szCs w:val="18"/>
                <w:lang w:val="en-US" w:eastAsia="zh-CN"/>
              </w:rPr>
              <w:t>&lt;10</w:t>
            </w:r>
          </w:p>
        </w:tc>
        <w:tc>
          <w:tcPr>
            <w:tcW w:w="1195" w:type="dxa"/>
            <w:shd w:val="clear" w:color="auto" w:fill="auto"/>
            <w:vAlign w:val="center"/>
          </w:tcPr>
          <w:p w14:paraId="40E441B8">
            <w:pPr>
              <w:jc w:val="center"/>
              <w:rPr>
                <w:rFonts w:hint="eastAsia" w:ascii="宋体" w:hAnsi="宋体" w:eastAsia="宋体" w:cs="宋体"/>
                <w:kern w:val="2"/>
                <w:sz w:val="18"/>
                <w:szCs w:val="18"/>
                <w:lang w:val="en-US" w:eastAsia="zh-CN" w:bidi="ar-SA"/>
              </w:rPr>
            </w:pPr>
            <w:r>
              <w:rPr>
                <w:rFonts w:hint="eastAsia" w:ascii="宋体" w:hAnsi="宋体" w:eastAsia="宋体" w:cs="宋体"/>
                <w:color w:val="000000"/>
                <w:sz w:val="18"/>
                <w:szCs w:val="18"/>
                <w:lang w:val="en-US" w:eastAsia="zh-CN"/>
              </w:rPr>
              <w:t>&lt;10</w:t>
            </w:r>
          </w:p>
        </w:tc>
        <w:tc>
          <w:tcPr>
            <w:tcW w:w="1195" w:type="dxa"/>
            <w:vMerge w:val="continue"/>
            <w:shd w:val="clear" w:color="auto" w:fill="auto"/>
            <w:vAlign w:val="center"/>
          </w:tcPr>
          <w:p w14:paraId="2BCA24F9">
            <w:pPr>
              <w:jc w:val="center"/>
              <w:rPr>
                <w:rFonts w:hint="eastAsia" w:ascii="宋体" w:hAnsi="宋体" w:eastAsia="宋体" w:cs="宋体"/>
                <w:color w:val="000000"/>
                <w:sz w:val="18"/>
                <w:szCs w:val="18"/>
                <w:lang w:val="en-US" w:eastAsia="zh-CN"/>
              </w:rPr>
            </w:pPr>
          </w:p>
        </w:tc>
      </w:tr>
      <w:tr w14:paraId="03E03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15" w:type="dxa"/>
            <w:vMerge w:val="continue"/>
            <w:vAlign w:val="center"/>
          </w:tcPr>
          <w:p w14:paraId="05789D51">
            <w:pPr>
              <w:jc w:val="center"/>
              <w:rPr>
                <w:rFonts w:hint="eastAsia" w:ascii="宋体" w:hAnsi="宋体" w:eastAsia="宋体" w:cs="宋体"/>
                <w:sz w:val="18"/>
                <w:szCs w:val="18"/>
              </w:rPr>
            </w:pPr>
          </w:p>
        </w:tc>
        <w:tc>
          <w:tcPr>
            <w:tcW w:w="1321" w:type="dxa"/>
            <w:vMerge w:val="continue"/>
            <w:vAlign w:val="center"/>
          </w:tcPr>
          <w:p w14:paraId="2CB4314F">
            <w:pPr>
              <w:jc w:val="center"/>
              <w:rPr>
                <w:rFonts w:hint="eastAsia" w:ascii="宋体" w:hAnsi="宋体" w:eastAsia="宋体" w:cs="宋体"/>
                <w:sz w:val="18"/>
                <w:szCs w:val="18"/>
              </w:rPr>
            </w:pPr>
          </w:p>
        </w:tc>
        <w:tc>
          <w:tcPr>
            <w:tcW w:w="1293" w:type="dxa"/>
            <w:vMerge w:val="continue"/>
            <w:vAlign w:val="center"/>
          </w:tcPr>
          <w:p w14:paraId="13332573">
            <w:pPr>
              <w:jc w:val="center"/>
              <w:rPr>
                <w:rFonts w:hint="eastAsia" w:ascii="宋体" w:hAnsi="宋体" w:eastAsia="宋体" w:cs="宋体"/>
                <w:sz w:val="18"/>
                <w:szCs w:val="18"/>
              </w:rPr>
            </w:pPr>
          </w:p>
        </w:tc>
        <w:tc>
          <w:tcPr>
            <w:tcW w:w="1343" w:type="dxa"/>
            <w:shd w:val="clear" w:color="auto" w:fill="auto"/>
            <w:vAlign w:val="center"/>
          </w:tcPr>
          <w:p w14:paraId="44511284">
            <w:pPr>
              <w:widowControl/>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最高值</w:t>
            </w:r>
          </w:p>
        </w:tc>
        <w:tc>
          <w:tcPr>
            <w:tcW w:w="1195" w:type="dxa"/>
            <w:shd w:val="clear" w:color="auto" w:fill="auto"/>
            <w:vAlign w:val="center"/>
          </w:tcPr>
          <w:p w14:paraId="5A83F77F">
            <w:pPr>
              <w:jc w:val="center"/>
              <w:rPr>
                <w:rFonts w:hint="eastAsia" w:ascii="宋体" w:hAnsi="宋体" w:eastAsia="宋体" w:cs="宋体"/>
                <w:kern w:val="2"/>
                <w:sz w:val="18"/>
                <w:szCs w:val="18"/>
                <w:lang w:val="en-US" w:eastAsia="zh-CN" w:bidi="ar-SA"/>
              </w:rPr>
            </w:pPr>
            <w:r>
              <w:rPr>
                <w:rFonts w:hint="eastAsia" w:ascii="宋体" w:hAnsi="宋体" w:eastAsia="宋体" w:cs="宋体"/>
                <w:color w:val="000000"/>
                <w:sz w:val="18"/>
                <w:szCs w:val="18"/>
                <w:lang w:val="en-US" w:eastAsia="zh-CN"/>
              </w:rPr>
              <w:t>&lt;10</w:t>
            </w:r>
          </w:p>
        </w:tc>
        <w:tc>
          <w:tcPr>
            <w:tcW w:w="1195" w:type="dxa"/>
            <w:shd w:val="clear" w:color="auto" w:fill="auto"/>
            <w:vAlign w:val="center"/>
          </w:tcPr>
          <w:p w14:paraId="77FBD9AA">
            <w:pPr>
              <w:jc w:val="center"/>
              <w:rPr>
                <w:rFonts w:hint="eastAsia" w:ascii="宋体" w:hAnsi="宋体" w:eastAsia="宋体" w:cs="宋体"/>
                <w:kern w:val="2"/>
                <w:sz w:val="18"/>
                <w:szCs w:val="18"/>
                <w:lang w:val="en-US" w:eastAsia="zh-CN" w:bidi="ar-SA"/>
              </w:rPr>
            </w:pPr>
            <w:r>
              <w:rPr>
                <w:rFonts w:hint="eastAsia" w:ascii="宋体" w:hAnsi="宋体" w:eastAsia="宋体" w:cs="宋体"/>
                <w:color w:val="000000"/>
                <w:sz w:val="18"/>
                <w:szCs w:val="18"/>
                <w:lang w:val="en-US" w:eastAsia="zh-CN"/>
              </w:rPr>
              <w:t>&lt;10</w:t>
            </w:r>
          </w:p>
        </w:tc>
        <w:tc>
          <w:tcPr>
            <w:tcW w:w="1195" w:type="dxa"/>
            <w:vMerge w:val="continue"/>
            <w:shd w:val="clear" w:color="auto" w:fill="auto"/>
            <w:vAlign w:val="center"/>
          </w:tcPr>
          <w:p w14:paraId="2A7508FC">
            <w:pPr>
              <w:jc w:val="center"/>
              <w:rPr>
                <w:rFonts w:hint="eastAsia" w:ascii="宋体" w:hAnsi="宋体" w:eastAsia="宋体" w:cs="宋体"/>
                <w:color w:val="000000"/>
                <w:sz w:val="18"/>
                <w:szCs w:val="18"/>
                <w:lang w:val="en-US" w:eastAsia="zh-CN"/>
              </w:rPr>
            </w:pPr>
          </w:p>
        </w:tc>
      </w:tr>
      <w:tr w14:paraId="0B73C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15" w:type="dxa"/>
            <w:vMerge w:val="restart"/>
            <w:vAlign w:val="center"/>
          </w:tcPr>
          <w:p w14:paraId="572573FD">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下风向4#</w:t>
            </w:r>
          </w:p>
        </w:tc>
        <w:tc>
          <w:tcPr>
            <w:tcW w:w="1321" w:type="dxa"/>
            <w:vMerge w:val="restart"/>
            <w:shd w:val="clear" w:color="auto" w:fill="auto"/>
            <w:vAlign w:val="center"/>
          </w:tcPr>
          <w:p w14:paraId="2C60F0BC">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非甲烷总烃</w:t>
            </w:r>
          </w:p>
          <w:p w14:paraId="00AFF60E">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（以碳计）</w:t>
            </w:r>
          </w:p>
        </w:tc>
        <w:tc>
          <w:tcPr>
            <w:tcW w:w="1293" w:type="dxa"/>
            <w:vMerge w:val="restart"/>
            <w:shd w:val="clear" w:color="auto" w:fill="auto"/>
            <w:vAlign w:val="center"/>
          </w:tcPr>
          <w:p w14:paraId="2FB94CE7">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气袋</w:t>
            </w:r>
          </w:p>
        </w:tc>
        <w:tc>
          <w:tcPr>
            <w:tcW w:w="1343" w:type="dxa"/>
            <w:vAlign w:val="center"/>
          </w:tcPr>
          <w:p w14:paraId="7E6E29CB">
            <w:pPr>
              <w:jc w:val="center"/>
              <w:rPr>
                <w:rFonts w:hint="eastAsia" w:ascii="宋体" w:hAnsi="宋体" w:eastAsia="宋体" w:cs="宋体"/>
                <w:sz w:val="18"/>
                <w:szCs w:val="18"/>
              </w:rPr>
            </w:pPr>
            <w:r>
              <w:rPr>
                <w:rFonts w:hint="eastAsia" w:ascii="宋体" w:hAnsi="宋体" w:eastAsia="宋体" w:cs="宋体"/>
                <w:sz w:val="18"/>
                <w:szCs w:val="18"/>
              </w:rPr>
              <w:t>第一次</w:t>
            </w:r>
          </w:p>
        </w:tc>
        <w:tc>
          <w:tcPr>
            <w:tcW w:w="1195" w:type="dxa"/>
            <w:vAlign w:val="center"/>
          </w:tcPr>
          <w:p w14:paraId="526EE08C">
            <w:pPr>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1.12</w:t>
            </w:r>
          </w:p>
        </w:tc>
        <w:tc>
          <w:tcPr>
            <w:tcW w:w="1195" w:type="dxa"/>
            <w:vAlign w:val="center"/>
          </w:tcPr>
          <w:p w14:paraId="5CFF064F">
            <w:pPr>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1.13</w:t>
            </w:r>
          </w:p>
        </w:tc>
        <w:tc>
          <w:tcPr>
            <w:tcW w:w="1195" w:type="dxa"/>
            <w:vMerge w:val="restart"/>
            <w:vAlign w:val="center"/>
          </w:tcPr>
          <w:p w14:paraId="2FB7F51F">
            <w:pPr>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4.0</w:t>
            </w:r>
          </w:p>
        </w:tc>
      </w:tr>
      <w:tr w14:paraId="393E5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15" w:type="dxa"/>
            <w:vMerge w:val="continue"/>
            <w:vAlign w:val="center"/>
          </w:tcPr>
          <w:p w14:paraId="30FD0527">
            <w:pPr>
              <w:jc w:val="center"/>
              <w:rPr>
                <w:rFonts w:hint="eastAsia" w:ascii="宋体" w:hAnsi="宋体" w:eastAsia="宋体" w:cs="宋体"/>
                <w:sz w:val="18"/>
                <w:szCs w:val="18"/>
              </w:rPr>
            </w:pPr>
          </w:p>
        </w:tc>
        <w:tc>
          <w:tcPr>
            <w:tcW w:w="1321" w:type="dxa"/>
            <w:vMerge w:val="continue"/>
            <w:vAlign w:val="center"/>
          </w:tcPr>
          <w:p w14:paraId="12960291">
            <w:pPr>
              <w:jc w:val="center"/>
              <w:rPr>
                <w:rFonts w:hint="eastAsia" w:ascii="宋体" w:hAnsi="宋体" w:eastAsia="宋体" w:cs="宋体"/>
                <w:sz w:val="18"/>
                <w:szCs w:val="18"/>
              </w:rPr>
            </w:pPr>
          </w:p>
        </w:tc>
        <w:tc>
          <w:tcPr>
            <w:tcW w:w="1293" w:type="dxa"/>
            <w:vMerge w:val="continue"/>
            <w:vAlign w:val="center"/>
          </w:tcPr>
          <w:p w14:paraId="69839E67">
            <w:pPr>
              <w:jc w:val="center"/>
              <w:rPr>
                <w:rFonts w:hint="eastAsia" w:ascii="宋体" w:hAnsi="宋体" w:eastAsia="宋体" w:cs="宋体"/>
                <w:sz w:val="18"/>
                <w:szCs w:val="18"/>
              </w:rPr>
            </w:pPr>
          </w:p>
        </w:tc>
        <w:tc>
          <w:tcPr>
            <w:tcW w:w="1343" w:type="dxa"/>
            <w:vAlign w:val="center"/>
          </w:tcPr>
          <w:p w14:paraId="60BF8373">
            <w:pPr>
              <w:widowControl/>
              <w:jc w:val="center"/>
              <w:rPr>
                <w:rFonts w:hint="eastAsia" w:ascii="宋体" w:hAnsi="宋体" w:eastAsia="宋体" w:cs="宋体"/>
                <w:sz w:val="18"/>
                <w:szCs w:val="18"/>
              </w:rPr>
            </w:pPr>
            <w:r>
              <w:rPr>
                <w:rFonts w:hint="eastAsia" w:ascii="宋体" w:hAnsi="宋体" w:eastAsia="宋体" w:cs="宋体"/>
                <w:sz w:val="18"/>
                <w:szCs w:val="18"/>
              </w:rPr>
              <w:t>第二次</w:t>
            </w:r>
          </w:p>
        </w:tc>
        <w:tc>
          <w:tcPr>
            <w:tcW w:w="1195" w:type="dxa"/>
            <w:vAlign w:val="center"/>
          </w:tcPr>
          <w:p w14:paraId="301C3868">
            <w:pPr>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1.12</w:t>
            </w:r>
          </w:p>
        </w:tc>
        <w:tc>
          <w:tcPr>
            <w:tcW w:w="1195" w:type="dxa"/>
            <w:vAlign w:val="center"/>
          </w:tcPr>
          <w:p w14:paraId="70129FE7">
            <w:pPr>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1.14</w:t>
            </w:r>
          </w:p>
        </w:tc>
        <w:tc>
          <w:tcPr>
            <w:tcW w:w="1195" w:type="dxa"/>
            <w:vMerge w:val="continue"/>
            <w:vAlign w:val="center"/>
          </w:tcPr>
          <w:p w14:paraId="0A515F1B">
            <w:pPr>
              <w:jc w:val="center"/>
              <w:rPr>
                <w:rFonts w:hint="eastAsia" w:ascii="宋体" w:hAnsi="宋体" w:eastAsia="宋体" w:cs="宋体"/>
                <w:color w:val="000000"/>
                <w:sz w:val="18"/>
                <w:szCs w:val="18"/>
                <w:lang w:val="en-US" w:eastAsia="zh-CN"/>
              </w:rPr>
            </w:pPr>
          </w:p>
        </w:tc>
      </w:tr>
      <w:tr w14:paraId="3CFC6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15" w:type="dxa"/>
            <w:vMerge w:val="continue"/>
            <w:vAlign w:val="center"/>
          </w:tcPr>
          <w:p w14:paraId="014B9791">
            <w:pPr>
              <w:jc w:val="center"/>
              <w:rPr>
                <w:rFonts w:hint="eastAsia" w:ascii="宋体" w:hAnsi="宋体" w:eastAsia="宋体" w:cs="宋体"/>
                <w:sz w:val="18"/>
                <w:szCs w:val="18"/>
              </w:rPr>
            </w:pPr>
          </w:p>
        </w:tc>
        <w:tc>
          <w:tcPr>
            <w:tcW w:w="1321" w:type="dxa"/>
            <w:vMerge w:val="continue"/>
            <w:vAlign w:val="center"/>
          </w:tcPr>
          <w:p w14:paraId="713F11ED">
            <w:pPr>
              <w:jc w:val="center"/>
              <w:rPr>
                <w:rFonts w:hint="eastAsia" w:ascii="宋体" w:hAnsi="宋体" w:eastAsia="宋体" w:cs="宋体"/>
                <w:sz w:val="18"/>
                <w:szCs w:val="18"/>
              </w:rPr>
            </w:pPr>
          </w:p>
        </w:tc>
        <w:tc>
          <w:tcPr>
            <w:tcW w:w="1293" w:type="dxa"/>
            <w:vMerge w:val="continue"/>
            <w:vAlign w:val="center"/>
          </w:tcPr>
          <w:p w14:paraId="5F345EA0">
            <w:pPr>
              <w:jc w:val="center"/>
              <w:rPr>
                <w:rFonts w:hint="eastAsia" w:ascii="宋体" w:hAnsi="宋体" w:eastAsia="宋体" w:cs="宋体"/>
                <w:sz w:val="18"/>
                <w:szCs w:val="18"/>
              </w:rPr>
            </w:pPr>
          </w:p>
        </w:tc>
        <w:tc>
          <w:tcPr>
            <w:tcW w:w="1343" w:type="dxa"/>
            <w:vAlign w:val="center"/>
          </w:tcPr>
          <w:p w14:paraId="5AA401D7">
            <w:pPr>
              <w:widowControl/>
              <w:jc w:val="center"/>
              <w:rPr>
                <w:rFonts w:hint="eastAsia" w:ascii="宋体" w:hAnsi="宋体" w:eastAsia="宋体" w:cs="宋体"/>
                <w:sz w:val="18"/>
                <w:szCs w:val="18"/>
              </w:rPr>
            </w:pPr>
            <w:r>
              <w:rPr>
                <w:rFonts w:hint="eastAsia" w:ascii="宋体" w:hAnsi="宋体" w:eastAsia="宋体" w:cs="宋体"/>
                <w:sz w:val="18"/>
                <w:szCs w:val="18"/>
              </w:rPr>
              <w:t>第三次</w:t>
            </w:r>
          </w:p>
        </w:tc>
        <w:tc>
          <w:tcPr>
            <w:tcW w:w="1195" w:type="dxa"/>
            <w:vAlign w:val="center"/>
          </w:tcPr>
          <w:p w14:paraId="06648176">
            <w:pPr>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1.13</w:t>
            </w:r>
          </w:p>
        </w:tc>
        <w:tc>
          <w:tcPr>
            <w:tcW w:w="1195" w:type="dxa"/>
            <w:vAlign w:val="center"/>
          </w:tcPr>
          <w:p w14:paraId="060055AB">
            <w:pPr>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1.11</w:t>
            </w:r>
          </w:p>
        </w:tc>
        <w:tc>
          <w:tcPr>
            <w:tcW w:w="1195" w:type="dxa"/>
            <w:vMerge w:val="continue"/>
            <w:vAlign w:val="center"/>
          </w:tcPr>
          <w:p w14:paraId="53FDA517">
            <w:pPr>
              <w:jc w:val="center"/>
              <w:rPr>
                <w:rFonts w:hint="eastAsia" w:ascii="宋体" w:hAnsi="宋体" w:eastAsia="宋体" w:cs="宋体"/>
                <w:color w:val="000000"/>
                <w:sz w:val="18"/>
                <w:szCs w:val="18"/>
                <w:lang w:val="en-US" w:eastAsia="zh-CN"/>
              </w:rPr>
            </w:pPr>
          </w:p>
        </w:tc>
      </w:tr>
      <w:tr w14:paraId="2E8FD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015" w:type="dxa"/>
            <w:vMerge w:val="continue"/>
            <w:vAlign w:val="center"/>
          </w:tcPr>
          <w:p w14:paraId="52D80D61">
            <w:pPr>
              <w:jc w:val="center"/>
              <w:rPr>
                <w:rFonts w:hint="eastAsia" w:ascii="宋体" w:hAnsi="宋体" w:eastAsia="宋体" w:cs="宋体"/>
                <w:sz w:val="18"/>
                <w:szCs w:val="18"/>
              </w:rPr>
            </w:pPr>
          </w:p>
        </w:tc>
        <w:tc>
          <w:tcPr>
            <w:tcW w:w="1321" w:type="dxa"/>
            <w:vMerge w:val="continue"/>
            <w:vAlign w:val="center"/>
          </w:tcPr>
          <w:p w14:paraId="73770F69">
            <w:pPr>
              <w:jc w:val="center"/>
              <w:rPr>
                <w:rFonts w:hint="eastAsia" w:ascii="宋体" w:hAnsi="宋体" w:eastAsia="宋体" w:cs="宋体"/>
                <w:sz w:val="18"/>
                <w:szCs w:val="18"/>
              </w:rPr>
            </w:pPr>
          </w:p>
        </w:tc>
        <w:tc>
          <w:tcPr>
            <w:tcW w:w="1293" w:type="dxa"/>
            <w:vMerge w:val="continue"/>
            <w:vAlign w:val="center"/>
          </w:tcPr>
          <w:p w14:paraId="7BDB20D0">
            <w:pPr>
              <w:jc w:val="center"/>
              <w:rPr>
                <w:rFonts w:hint="eastAsia" w:ascii="宋体" w:hAnsi="宋体" w:eastAsia="宋体" w:cs="宋体"/>
                <w:sz w:val="18"/>
                <w:szCs w:val="18"/>
              </w:rPr>
            </w:pPr>
          </w:p>
        </w:tc>
        <w:tc>
          <w:tcPr>
            <w:tcW w:w="1343" w:type="dxa"/>
            <w:vAlign w:val="center"/>
          </w:tcPr>
          <w:p w14:paraId="729C212A">
            <w:pPr>
              <w:widowControl/>
              <w:jc w:val="center"/>
              <w:rPr>
                <w:rFonts w:hint="eastAsia" w:ascii="宋体" w:hAnsi="宋体" w:eastAsia="宋体" w:cs="宋体"/>
                <w:sz w:val="18"/>
                <w:szCs w:val="18"/>
              </w:rPr>
            </w:pPr>
            <w:r>
              <w:rPr>
                <w:rFonts w:hint="eastAsia" w:ascii="宋体" w:hAnsi="宋体" w:eastAsia="宋体" w:cs="宋体"/>
                <w:sz w:val="18"/>
                <w:szCs w:val="18"/>
                <w:lang w:val="en-US" w:eastAsia="zh-CN"/>
              </w:rPr>
              <w:t>第四次</w:t>
            </w:r>
          </w:p>
        </w:tc>
        <w:tc>
          <w:tcPr>
            <w:tcW w:w="1195" w:type="dxa"/>
            <w:vAlign w:val="center"/>
          </w:tcPr>
          <w:p w14:paraId="6FB37882">
            <w:pPr>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1.11</w:t>
            </w:r>
          </w:p>
        </w:tc>
        <w:tc>
          <w:tcPr>
            <w:tcW w:w="1195" w:type="dxa"/>
            <w:vAlign w:val="center"/>
          </w:tcPr>
          <w:p w14:paraId="75288C0A">
            <w:pPr>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1.14</w:t>
            </w:r>
          </w:p>
        </w:tc>
        <w:tc>
          <w:tcPr>
            <w:tcW w:w="1195" w:type="dxa"/>
            <w:vMerge w:val="continue"/>
            <w:vAlign w:val="center"/>
          </w:tcPr>
          <w:p w14:paraId="1DB9C335">
            <w:pPr>
              <w:jc w:val="center"/>
              <w:rPr>
                <w:rFonts w:hint="eastAsia" w:ascii="宋体" w:hAnsi="宋体" w:eastAsia="宋体" w:cs="宋体"/>
                <w:color w:val="000000"/>
                <w:sz w:val="18"/>
                <w:szCs w:val="18"/>
                <w:lang w:val="en-US" w:eastAsia="zh-CN"/>
              </w:rPr>
            </w:pPr>
          </w:p>
        </w:tc>
      </w:tr>
      <w:tr w14:paraId="232B0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015" w:type="dxa"/>
            <w:vMerge w:val="continue"/>
            <w:vAlign w:val="center"/>
          </w:tcPr>
          <w:p w14:paraId="3FBD09C0">
            <w:pPr>
              <w:jc w:val="center"/>
              <w:rPr>
                <w:rFonts w:hint="eastAsia" w:ascii="宋体" w:hAnsi="宋体" w:eastAsia="宋体" w:cs="宋体"/>
                <w:sz w:val="18"/>
                <w:szCs w:val="18"/>
              </w:rPr>
            </w:pPr>
          </w:p>
        </w:tc>
        <w:tc>
          <w:tcPr>
            <w:tcW w:w="1321" w:type="dxa"/>
            <w:vMerge w:val="continue"/>
            <w:vAlign w:val="center"/>
          </w:tcPr>
          <w:p w14:paraId="3288B54D">
            <w:pPr>
              <w:jc w:val="center"/>
              <w:rPr>
                <w:rFonts w:hint="eastAsia" w:ascii="宋体" w:hAnsi="宋体" w:eastAsia="宋体" w:cs="宋体"/>
                <w:sz w:val="18"/>
                <w:szCs w:val="18"/>
              </w:rPr>
            </w:pPr>
          </w:p>
        </w:tc>
        <w:tc>
          <w:tcPr>
            <w:tcW w:w="1293" w:type="dxa"/>
            <w:vMerge w:val="continue"/>
            <w:vAlign w:val="center"/>
          </w:tcPr>
          <w:p w14:paraId="0ECC676B">
            <w:pPr>
              <w:jc w:val="center"/>
              <w:rPr>
                <w:rFonts w:hint="eastAsia" w:ascii="宋体" w:hAnsi="宋体" w:eastAsia="宋体" w:cs="宋体"/>
                <w:sz w:val="18"/>
                <w:szCs w:val="18"/>
              </w:rPr>
            </w:pPr>
          </w:p>
        </w:tc>
        <w:tc>
          <w:tcPr>
            <w:tcW w:w="1343" w:type="dxa"/>
            <w:vAlign w:val="center"/>
          </w:tcPr>
          <w:p w14:paraId="4DA3153E">
            <w:pPr>
              <w:widowControl/>
              <w:jc w:val="center"/>
              <w:rPr>
                <w:rFonts w:hint="eastAsia" w:ascii="宋体" w:hAnsi="宋体" w:eastAsia="宋体" w:cs="宋体"/>
                <w:sz w:val="18"/>
                <w:szCs w:val="18"/>
              </w:rPr>
            </w:pPr>
            <w:r>
              <w:rPr>
                <w:rFonts w:hint="eastAsia" w:ascii="宋体" w:hAnsi="宋体" w:eastAsia="宋体" w:cs="宋体"/>
                <w:sz w:val="18"/>
                <w:szCs w:val="18"/>
              </w:rPr>
              <w:t>最高值</w:t>
            </w:r>
          </w:p>
        </w:tc>
        <w:tc>
          <w:tcPr>
            <w:tcW w:w="1195" w:type="dxa"/>
            <w:vAlign w:val="center"/>
          </w:tcPr>
          <w:p w14:paraId="3BCFDD13">
            <w:pPr>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1.13</w:t>
            </w:r>
          </w:p>
        </w:tc>
        <w:tc>
          <w:tcPr>
            <w:tcW w:w="1195" w:type="dxa"/>
            <w:vAlign w:val="center"/>
          </w:tcPr>
          <w:p w14:paraId="2B134A0B">
            <w:pPr>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1.14</w:t>
            </w:r>
          </w:p>
        </w:tc>
        <w:tc>
          <w:tcPr>
            <w:tcW w:w="1195" w:type="dxa"/>
            <w:vMerge w:val="continue"/>
            <w:vAlign w:val="center"/>
          </w:tcPr>
          <w:p w14:paraId="27504D40">
            <w:pPr>
              <w:jc w:val="center"/>
              <w:rPr>
                <w:rFonts w:hint="eastAsia" w:ascii="宋体" w:hAnsi="宋体" w:eastAsia="宋体" w:cs="宋体"/>
                <w:color w:val="000000"/>
                <w:sz w:val="18"/>
                <w:szCs w:val="18"/>
                <w:lang w:val="en-US" w:eastAsia="zh-CN"/>
              </w:rPr>
            </w:pPr>
          </w:p>
        </w:tc>
      </w:tr>
      <w:tr w14:paraId="34341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015" w:type="dxa"/>
            <w:vMerge w:val="continue"/>
            <w:vAlign w:val="center"/>
          </w:tcPr>
          <w:p w14:paraId="0BB46AAD">
            <w:pPr>
              <w:jc w:val="center"/>
              <w:rPr>
                <w:rFonts w:hint="eastAsia" w:ascii="宋体" w:hAnsi="宋体" w:eastAsia="宋体" w:cs="宋体"/>
                <w:sz w:val="18"/>
                <w:szCs w:val="18"/>
              </w:rPr>
            </w:pPr>
          </w:p>
        </w:tc>
        <w:tc>
          <w:tcPr>
            <w:tcW w:w="1321" w:type="dxa"/>
            <w:vMerge w:val="restart"/>
            <w:shd w:val="clear" w:color="auto" w:fill="auto"/>
            <w:vAlign w:val="center"/>
          </w:tcPr>
          <w:p w14:paraId="44F22B5F">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臭气浓度</w:t>
            </w:r>
          </w:p>
          <w:p w14:paraId="515D7ADA">
            <w:pPr>
              <w:jc w:val="center"/>
              <w:rPr>
                <w:rFonts w:hint="eastAsia" w:ascii="宋体" w:hAnsi="宋体" w:eastAsia="宋体" w:cs="宋体"/>
                <w:sz w:val="18"/>
                <w:szCs w:val="18"/>
              </w:rPr>
            </w:pPr>
            <w:r>
              <w:rPr>
                <w:rFonts w:hint="eastAsia" w:ascii="宋体" w:hAnsi="宋体" w:eastAsia="宋体" w:cs="宋体"/>
                <w:sz w:val="18"/>
                <w:szCs w:val="18"/>
                <w:lang w:val="en-US" w:eastAsia="zh-CN"/>
              </w:rPr>
              <w:t>（无量纲）</w:t>
            </w:r>
          </w:p>
        </w:tc>
        <w:tc>
          <w:tcPr>
            <w:tcW w:w="1293" w:type="dxa"/>
            <w:vMerge w:val="restart"/>
            <w:shd w:val="clear" w:color="auto" w:fill="auto"/>
            <w:vAlign w:val="center"/>
          </w:tcPr>
          <w:p w14:paraId="79D203F3">
            <w:pPr>
              <w:jc w:val="center"/>
              <w:rPr>
                <w:rFonts w:hint="eastAsia" w:ascii="宋体" w:hAnsi="宋体" w:eastAsia="宋体" w:cs="宋体"/>
                <w:sz w:val="18"/>
                <w:szCs w:val="18"/>
              </w:rPr>
            </w:pPr>
            <w:r>
              <w:rPr>
                <w:rFonts w:hint="eastAsia" w:ascii="宋体" w:hAnsi="宋体" w:eastAsia="宋体" w:cs="宋体"/>
                <w:sz w:val="18"/>
                <w:szCs w:val="18"/>
                <w:lang w:val="en-US" w:eastAsia="zh-CN"/>
              </w:rPr>
              <w:t>气瓶</w:t>
            </w:r>
          </w:p>
        </w:tc>
        <w:tc>
          <w:tcPr>
            <w:tcW w:w="1343" w:type="dxa"/>
            <w:shd w:val="clear" w:color="auto" w:fill="auto"/>
            <w:vAlign w:val="center"/>
          </w:tcPr>
          <w:p w14:paraId="180C6699">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第一次</w:t>
            </w:r>
          </w:p>
        </w:tc>
        <w:tc>
          <w:tcPr>
            <w:tcW w:w="1195" w:type="dxa"/>
            <w:shd w:val="clear" w:color="auto" w:fill="auto"/>
            <w:vAlign w:val="center"/>
          </w:tcPr>
          <w:p w14:paraId="40EE107F">
            <w:pPr>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&lt;10</w:t>
            </w:r>
          </w:p>
        </w:tc>
        <w:tc>
          <w:tcPr>
            <w:tcW w:w="1195" w:type="dxa"/>
            <w:shd w:val="clear" w:color="auto" w:fill="auto"/>
            <w:vAlign w:val="center"/>
          </w:tcPr>
          <w:p w14:paraId="4834ED95">
            <w:pPr>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sz w:val="18"/>
                <w:szCs w:val="18"/>
                <w:lang w:val="en-US" w:eastAsia="zh-CN"/>
              </w:rPr>
              <w:t>&lt;10</w:t>
            </w:r>
          </w:p>
        </w:tc>
        <w:tc>
          <w:tcPr>
            <w:tcW w:w="1195" w:type="dxa"/>
            <w:vMerge w:val="restart"/>
            <w:shd w:val="clear" w:color="auto" w:fill="auto"/>
            <w:vAlign w:val="center"/>
          </w:tcPr>
          <w:p w14:paraId="3C3C8870">
            <w:pPr>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20</w:t>
            </w:r>
          </w:p>
        </w:tc>
      </w:tr>
      <w:tr w14:paraId="57CDC1C6">
        <w:tblPrEx>
          <w:tblCellMar>
            <w:top w:w="0" w:type="dxa"/>
            <w:left w:w="108" w:type="dxa"/>
            <w:bottom w:w="0" w:type="dxa"/>
            <w:right w:w="108" w:type="dxa"/>
          </w:tblCellMar>
        </w:tblPrEx>
        <w:trPr>
          <w:trHeight w:val="231" w:hRule="atLeast"/>
          <w:jc w:val="center"/>
        </w:trPr>
        <w:tc>
          <w:tcPr>
            <w:tcW w:w="1015" w:type="dxa"/>
            <w:vMerge w:val="continue"/>
            <w:vAlign w:val="center"/>
          </w:tcPr>
          <w:p w14:paraId="35C29FDC">
            <w:pPr>
              <w:jc w:val="center"/>
              <w:rPr>
                <w:rFonts w:hint="eastAsia" w:ascii="宋体" w:hAnsi="宋体" w:eastAsia="宋体" w:cs="宋体"/>
                <w:sz w:val="18"/>
                <w:szCs w:val="18"/>
              </w:rPr>
            </w:pPr>
          </w:p>
        </w:tc>
        <w:tc>
          <w:tcPr>
            <w:tcW w:w="1321" w:type="dxa"/>
            <w:vMerge w:val="continue"/>
            <w:vAlign w:val="center"/>
          </w:tcPr>
          <w:p w14:paraId="53054189">
            <w:pPr>
              <w:jc w:val="center"/>
              <w:rPr>
                <w:rFonts w:hint="eastAsia" w:ascii="宋体" w:hAnsi="宋体" w:eastAsia="宋体" w:cs="宋体"/>
                <w:sz w:val="18"/>
                <w:szCs w:val="18"/>
              </w:rPr>
            </w:pPr>
          </w:p>
        </w:tc>
        <w:tc>
          <w:tcPr>
            <w:tcW w:w="1293" w:type="dxa"/>
            <w:vMerge w:val="continue"/>
            <w:vAlign w:val="center"/>
          </w:tcPr>
          <w:p w14:paraId="087FAA66">
            <w:pPr>
              <w:jc w:val="center"/>
              <w:rPr>
                <w:rFonts w:hint="eastAsia" w:ascii="宋体" w:hAnsi="宋体" w:eastAsia="宋体" w:cs="宋体"/>
                <w:sz w:val="18"/>
                <w:szCs w:val="18"/>
              </w:rPr>
            </w:pPr>
          </w:p>
        </w:tc>
        <w:tc>
          <w:tcPr>
            <w:tcW w:w="1343" w:type="dxa"/>
            <w:shd w:val="clear" w:color="auto" w:fill="auto"/>
            <w:vAlign w:val="center"/>
          </w:tcPr>
          <w:p w14:paraId="24BA2CB3">
            <w:pPr>
              <w:widowControl/>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第二次</w:t>
            </w:r>
          </w:p>
        </w:tc>
        <w:tc>
          <w:tcPr>
            <w:tcW w:w="1195" w:type="dxa"/>
            <w:shd w:val="clear" w:color="auto" w:fill="auto"/>
            <w:vAlign w:val="center"/>
          </w:tcPr>
          <w:p w14:paraId="5DCF7091">
            <w:pPr>
              <w:jc w:val="center"/>
              <w:rPr>
                <w:rFonts w:hint="eastAsia" w:ascii="宋体" w:hAnsi="宋体" w:eastAsia="宋体" w:cs="宋体"/>
                <w:kern w:val="2"/>
                <w:sz w:val="18"/>
                <w:szCs w:val="18"/>
                <w:lang w:val="en-US" w:eastAsia="zh-CN" w:bidi="ar-SA"/>
              </w:rPr>
            </w:pPr>
            <w:r>
              <w:rPr>
                <w:rFonts w:hint="eastAsia" w:ascii="宋体" w:hAnsi="宋体" w:eastAsia="宋体" w:cs="宋体"/>
                <w:color w:val="000000"/>
                <w:sz w:val="18"/>
                <w:szCs w:val="18"/>
                <w:lang w:val="en-US" w:eastAsia="zh-CN"/>
              </w:rPr>
              <w:t>&lt;10</w:t>
            </w:r>
          </w:p>
        </w:tc>
        <w:tc>
          <w:tcPr>
            <w:tcW w:w="1195" w:type="dxa"/>
            <w:shd w:val="clear" w:color="auto" w:fill="auto"/>
            <w:vAlign w:val="center"/>
          </w:tcPr>
          <w:p w14:paraId="02FF5CD5">
            <w:pPr>
              <w:jc w:val="center"/>
              <w:rPr>
                <w:rFonts w:hint="eastAsia" w:ascii="宋体" w:hAnsi="宋体" w:eastAsia="宋体" w:cs="宋体"/>
                <w:kern w:val="2"/>
                <w:sz w:val="18"/>
                <w:szCs w:val="18"/>
                <w:lang w:val="en-US" w:eastAsia="zh-CN" w:bidi="ar-SA"/>
              </w:rPr>
            </w:pPr>
            <w:r>
              <w:rPr>
                <w:rFonts w:hint="eastAsia" w:ascii="宋体" w:hAnsi="宋体" w:eastAsia="宋体" w:cs="宋体"/>
                <w:color w:val="000000"/>
                <w:sz w:val="18"/>
                <w:szCs w:val="18"/>
                <w:lang w:val="en-US" w:eastAsia="zh-CN"/>
              </w:rPr>
              <w:t>&lt;10</w:t>
            </w:r>
          </w:p>
        </w:tc>
        <w:tc>
          <w:tcPr>
            <w:tcW w:w="1195" w:type="dxa"/>
            <w:vMerge w:val="continue"/>
            <w:shd w:val="clear" w:color="auto" w:fill="auto"/>
            <w:vAlign w:val="center"/>
          </w:tcPr>
          <w:p w14:paraId="1A5DEF51">
            <w:pPr>
              <w:jc w:val="center"/>
              <w:rPr>
                <w:rFonts w:hint="eastAsia" w:ascii="宋体" w:hAnsi="宋体" w:eastAsia="宋体" w:cs="宋体"/>
                <w:color w:val="000000"/>
                <w:sz w:val="18"/>
                <w:szCs w:val="18"/>
                <w:lang w:val="en-US" w:eastAsia="zh-CN"/>
              </w:rPr>
            </w:pPr>
          </w:p>
        </w:tc>
      </w:tr>
      <w:tr w14:paraId="1A1F6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015" w:type="dxa"/>
            <w:vMerge w:val="continue"/>
            <w:vAlign w:val="center"/>
          </w:tcPr>
          <w:p w14:paraId="77095282">
            <w:pPr>
              <w:jc w:val="center"/>
              <w:rPr>
                <w:rFonts w:hint="eastAsia" w:ascii="宋体" w:hAnsi="宋体" w:eastAsia="宋体" w:cs="宋体"/>
                <w:sz w:val="18"/>
                <w:szCs w:val="18"/>
              </w:rPr>
            </w:pPr>
          </w:p>
        </w:tc>
        <w:tc>
          <w:tcPr>
            <w:tcW w:w="1321" w:type="dxa"/>
            <w:vMerge w:val="continue"/>
            <w:vAlign w:val="center"/>
          </w:tcPr>
          <w:p w14:paraId="4DFCEBB4">
            <w:pPr>
              <w:jc w:val="center"/>
              <w:rPr>
                <w:rFonts w:hint="eastAsia" w:ascii="宋体" w:hAnsi="宋体" w:eastAsia="宋体" w:cs="宋体"/>
                <w:sz w:val="18"/>
                <w:szCs w:val="18"/>
              </w:rPr>
            </w:pPr>
          </w:p>
        </w:tc>
        <w:tc>
          <w:tcPr>
            <w:tcW w:w="1293" w:type="dxa"/>
            <w:vMerge w:val="continue"/>
            <w:vAlign w:val="center"/>
          </w:tcPr>
          <w:p w14:paraId="10FE70A6">
            <w:pPr>
              <w:jc w:val="center"/>
              <w:rPr>
                <w:rFonts w:hint="eastAsia" w:ascii="宋体" w:hAnsi="宋体" w:eastAsia="宋体" w:cs="宋体"/>
                <w:sz w:val="18"/>
                <w:szCs w:val="18"/>
              </w:rPr>
            </w:pPr>
          </w:p>
        </w:tc>
        <w:tc>
          <w:tcPr>
            <w:tcW w:w="1343" w:type="dxa"/>
            <w:shd w:val="clear" w:color="auto" w:fill="auto"/>
            <w:vAlign w:val="center"/>
          </w:tcPr>
          <w:p w14:paraId="3E285C57">
            <w:pPr>
              <w:widowControl/>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第三次</w:t>
            </w:r>
          </w:p>
        </w:tc>
        <w:tc>
          <w:tcPr>
            <w:tcW w:w="1195" w:type="dxa"/>
            <w:shd w:val="clear" w:color="auto" w:fill="auto"/>
            <w:vAlign w:val="center"/>
          </w:tcPr>
          <w:p w14:paraId="4DCEBBB8">
            <w:pPr>
              <w:jc w:val="center"/>
              <w:rPr>
                <w:rFonts w:hint="eastAsia" w:ascii="宋体" w:hAnsi="宋体" w:eastAsia="宋体" w:cs="宋体"/>
                <w:kern w:val="2"/>
                <w:sz w:val="18"/>
                <w:szCs w:val="18"/>
                <w:lang w:val="en-US" w:eastAsia="zh-CN" w:bidi="ar-SA"/>
              </w:rPr>
            </w:pPr>
            <w:r>
              <w:rPr>
                <w:rFonts w:hint="eastAsia" w:ascii="宋体" w:hAnsi="宋体" w:eastAsia="宋体" w:cs="宋体"/>
                <w:color w:val="000000"/>
                <w:sz w:val="18"/>
                <w:szCs w:val="18"/>
                <w:lang w:val="en-US" w:eastAsia="zh-CN"/>
              </w:rPr>
              <w:t>&lt;10</w:t>
            </w:r>
          </w:p>
        </w:tc>
        <w:tc>
          <w:tcPr>
            <w:tcW w:w="1195" w:type="dxa"/>
            <w:shd w:val="clear" w:color="auto" w:fill="auto"/>
            <w:vAlign w:val="center"/>
          </w:tcPr>
          <w:p w14:paraId="262EA843">
            <w:pPr>
              <w:jc w:val="center"/>
              <w:rPr>
                <w:rFonts w:hint="eastAsia" w:ascii="宋体" w:hAnsi="宋体" w:eastAsia="宋体" w:cs="宋体"/>
                <w:kern w:val="2"/>
                <w:sz w:val="18"/>
                <w:szCs w:val="18"/>
                <w:lang w:val="en-US" w:eastAsia="zh-CN" w:bidi="ar-SA"/>
              </w:rPr>
            </w:pPr>
            <w:r>
              <w:rPr>
                <w:rFonts w:hint="eastAsia" w:ascii="宋体" w:hAnsi="宋体" w:eastAsia="宋体" w:cs="宋体"/>
                <w:color w:val="000000"/>
                <w:sz w:val="18"/>
                <w:szCs w:val="18"/>
                <w:lang w:val="en-US" w:eastAsia="zh-CN"/>
              </w:rPr>
              <w:t>&lt;10</w:t>
            </w:r>
          </w:p>
        </w:tc>
        <w:tc>
          <w:tcPr>
            <w:tcW w:w="1195" w:type="dxa"/>
            <w:vMerge w:val="continue"/>
            <w:shd w:val="clear" w:color="auto" w:fill="auto"/>
            <w:vAlign w:val="center"/>
          </w:tcPr>
          <w:p w14:paraId="7A187B79">
            <w:pPr>
              <w:jc w:val="center"/>
              <w:rPr>
                <w:rFonts w:hint="eastAsia" w:ascii="宋体" w:hAnsi="宋体" w:eastAsia="宋体" w:cs="宋体"/>
                <w:color w:val="000000"/>
                <w:sz w:val="18"/>
                <w:szCs w:val="18"/>
                <w:lang w:val="en-US" w:eastAsia="zh-CN"/>
              </w:rPr>
            </w:pPr>
          </w:p>
        </w:tc>
      </w:tr>
      <w:tr w14:paraId="2FD1B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015" w:type="dxa"/>
            <w:vMerge w:val="continue"/>
            <w:vAlign w:val="center"/>
          </w:tcPr>
          <w:p w14:paraId="526289F4">
            <w:pPr>
              <w:jc w:val="center"/>
              <w:rPr>
                <w:rFonts w:hint="eastAsia" w:ascii="宋体" w:hAnsi="宋体" w:eastAsia="宋体" w:cs="宋体"/>
                <w:sz w:val="18"/>
                <w:szCs w:val="18"/>
              </w:rPr>
            </w:pPr>
          </w:p>
        </w:tc>
        <w:tc>
          <w:tcPr>
            <w:tcW w:w="1321" w:type="dxa"/>
            <w:vMerge w:val="continue"/>
            <w:vAlign w:val="center"/>
          </w:tcPr>
          <w:p w14:paraId="20AA036C">
            <w:pPr>
              <w:jc w:val="center"/>
              <w:rPr>
                <w:rFonts w:hint="eastAsia" w:ascii="宋体" w:hAnsi="宋体" w:eastAsia="宋体" w:cs="宋体"/>
                <w:sz w:val="18"/>
                <w:szCs w:val="18"/>
              </w:rPr>
            </w:pPr>
          </w:p>
        </w:tc>
        <w:tc>
          <w:tcPr>
            <w:tcW w:w="1293" w:type="dxa"/>
            <w:vMerge w:val="continue"/>
            <w:vAlign w:val="center"/>
          </w:tcPr>
          <w:p w14:paraId="24B152DC">
            <w:pPr>
              <w:jc w:val="center"/>
              <w:rPr>
                <w:rFonts w:hint="eastAsia" w:ascii="宋体" w:hAnsi="宋体" w:eastAsia="宋体" w:cs="宋体"/>
                <w:sz w:val="18"/>
                <w:szCs w:val="18"/>
              </w:rPr>
            </w:pPr>
          </w:p>
        </w:tc>
        <w:tc>
          <w:tcPr>
            <w:tcW w:w="1343" w:type="dxa"/>
            <w:shd w:val="clear" w:color="auto" w:fill="auto"/>
            <w:vAlign w:val="center"/>
          </w:tcPr>
          <w:p w14:paraId="42DBA6C8">
            <w:pPr>
              <w:widowControl/>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第四次</w:t>
            </w:r>
          </w:p>
        </w:tc>
        <w:tc>
          <w:tcPr>
            <w:tcW w:w="1195" w:type="dxa"/>
            <w:shd w:val="clear" w:color="auto" w:fill="auto"/>
            <w:vAlign w:val="center"/>
          </w:tcPr>
          <w:p w14:paraId="5BBE8B2B">
            <w:pPr>
              <w:jc w:val="center"/>
              <w:rPr>
                <w:rFonts w:hint="eastAsia" w:ascii="宋体" w:hAnsi="宋体" w:eastAsia="宋体" w:cs="宋体"/>
                <w:kern w:val="2"/>
                <w:sz w:val="18"/>
                <w:szCs w:val="18"/>
                <w:lang w:val="en-US" w:eastAsia="zh-CN" w:bidi="ar-SA"/>
              </w:rPr>
            </w:pPr>
            <w:r>
              <w:rPr>
                <w:rFonts w:hint="eastAsia" w:ascii="宋体" w:hAnsi="宋体" w:eastAsia="宋体" w:cs="宋体"/>
                <w:color w:val="000000"/>
                <w:sz w:val="18"/>
                <w:szCs w:val="18"/>
                <w:lang w:val="en-US" w:eastAsia="zh-CN"/>
              </w:rPr>
              <w:t>&lt;10</w:t>
            </w:r>
          </w:p>
        </w:tc>
        <w:tc>
          <w:tcPr>
            <w:tcW w:w="1195" w:type="dxa"/>
            <w:shd w:val="clear" w:color="auto" w:fill="auto"/>
            <w:vAlign w:val="center"/>
          </w:tcPr>
          <w:p w14:paraId="5300ACB7">
            <w:pPr>
              <w:jc w:val="center"/>
              <w:rPr>
                <w:rFonts w:hint="eastAsia" w:ascii="宋体" w:hAnsi="宋体" w:eastAsia="宋体" w:cs="宋体"/>
                <w:kern w:val="2"/>
                <w:sz w:val="18"/>
                <w:szCs w:val="18"/>
                <w:lang w:val="en-US" w:eastAsia="zh-CN" w:bidi="ar-SA"/>
              </w:rPr>
            </w:pPr>
            <w:r>
              <w:rPr>
                <w:rFonts w:hint="eastAsia" w:ascii="宋体" w:hAnsi="宋体" w:eastAsia="宋体" w:cs="宋体"/>
                <w:color w:val="000000"/>
                <w:sz w:val="18"/>
                <w:szCs w:val="18"/>
                <w:lang w:val="en-US" w:eastAsia="zh-CN"/>
              </w:rPr>
              <w:t>&lt;10</w:t>
            </w:r>
          </w:p>
        </w:tc>
        <w:tc>
          <w:tcPr>
            <w:tcW w:w="1195" w:type="dxa"/>
            <w:vMerge w:val="continue"/>
            <w:shd w:val="clear" w:color="auto" w:fill="auto"/>
            <w:vAlign w:val="center"/>
          </w:tcPr>
          <w:p w14:paraId="1D0F38FE">
            <w:pPr>
              <w:jc w:val="center"/>
              <w:rPr>
                <w:rFonts w:hint="eastAsia" w:ascii="宋体" w:hAnsi="宋体" w:eastAsia="宋体" w:cs="宋体"/>
                <w:color w:val="000000"/>
                <w:sz w:val="18"/>
                <w:szCs w:val="18"/>
                <w:lang w:val="en-US" w:eastAsia="zh-CN"/>
              </w:rPr>
            </w:pPr>
          </w:p>
        </w:tc>
      </w:tr>
      <w:tr w14:paraId="7FFB9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015" w:type="dxa"/>
            <w:vMerge w:val="continue"/>
            <w:vAlign w:val="center"/>
          </w:tcPr>
          <w:p w14:paraId="2276524A">
            <w:pPr>
              <w:jc w:val="center"/>
              <w:rPr>
                <w:rFonts w:hint="eastAsia" w:ascii="宋体" w:hAnsi="宋体" w:eastAsia="宋体" w:cs="宋体"/>
                <w:sz w:val="18"/>
                <w:szCs w:val="18"/>
              </w:rPr>
            </w:pPr>
          </w:p>
        </w:tc>
        <w:tc>
          <w:tcPr>
            <w:tcW w:w="1321" w:type="dxa"/>
            <w:vMerge w:val="continue"/>
            <w:vAlign w:val="center"/>
          </w:tcPr>
          <w:p w14:paraId="1B850934">
            <w:pPr>
              <w:jc w:val="center"/>
              <w:rPr>
                <w:rFonts w:hint="eastAsia" w:ascii="宋体" w:hAnsi="宋体" w:eastAsia="宋体" w:cs="宋体"/>
                <w:sz w:val="18"/>
                <w:szCs w:val="18"/>
              </w:rPr>
            </w:pPr>
          </w:p>
        </w:tc>
        <w:tc>
          <w:tcPr>
            <w:tcW w:w="1293" w:type="dxa"/>
            <w:vMerge w:val="continue"/>
            <w:vAlign w:val="center"/>
          </w:tcPr>
          <w:p w14:paraId="6BD1DA69">
            <w:pPr>
              <w:jc w:val="center"/>
              <w:rPr>
                <w:rFonts w:hint="eastAsia" w:ascii="宋体" w:hAnsi="宋体" w:eastAsia="宋体" w:cs="宋体"/>
                <w:sz w:val="18"/>
                <w:szCs w:val="18"/>
              </w:rPr>
            </w:pPr>
          </w:p>
        </w:tc>
        <w:tc>
          <w:tcPr>
            <w:tcW w:w="1343" w:type="dxa"/>
            <w:shd w:val="clear" w:color="auto" w:fill="auto"/>
            <w:vAlign w:val="center"/>
          </w:tcPr>
          <w:p w14:paraId="5B4F5255">
            <w:pPr>
              <w:widowControl/>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最高值</w:t>
            </w:r>
          </w:p>
        </w:tc>
        <w:tc>
          <w:tcPr>
            <w:tcW w:w="1195" w:type="dxa"/>
            <w:shd w:val="clear" w:color="auto" w:fill="auto"/>
            <w:vAlign w:val="center"/>
          </w:tcPr>
          <w:p w14:paraId="097BB765">
            <w:pPr>
              <w:jc w:val="center"/>
              <w:rPr>
                <w:rFonts w:hint="eastAsia" w:ascii="宋体" w:hAnsi="宋体" w:eastAsia="宋体" w:cs="宋体"/>
                <w:kern w:val="2"/>
                <w:sz w:val="18"/>
                <w:szCs w:val="18"/>
                <w:lang w:val="en-US" w:eastAsia="zh-CN" w:bidi="ar-SA"/>
              </w:rPr>
            </w:pPr>
            <w:r>
              <w:rPr>
                <w:rFonts w:hint="eastAsia" w:ascii="宋体" w:hAnsi="宋体" w:eastAsia="宋体" w:cs="宋体"/>
                <w:color w:val="000000"/>
                <w:sz w:val="18"/>
                <w:szCs w:val="18"/>
                <w:lang w:val="en-US" w:eastAsia="zh-CN"/>
              </w:rPr>
              <w:t>&lt;10</w:t>
            </w:r>
          </w:p>
        </w:tc>
        <w:tc>
          <w:tcPr>
            <w:tcW w:w="1195" w:type="dxa"/>
            <w:shd w:val="clear" w:color="auto" w:fill="auto"/>
            <w:vAlign w:val="center"/>
          </w:tcPr>
          <w:p w14:paraId="79A1518F">
            <w:pPr>
              <w:jc w:val="center"/>
              <w:rPr>
                <w:rFonts w:hint="eastAsia" w:ascii="宋体" w:hAnsi="宋体" w:eastAsia="宋体" w:cs="宋体"/>
                <w:kern w:val="2"/>
                <w:sz w:val="18"/>
                <w:szCs w:val="18"/>
                <w:lang w:val="en-US" w:eastAsia="zh-CN" w:bidi="ar-SA"/>
              </w:rPr>
            </w:pPr>
            <w:r>
              <w:rPr>
                <w:rFonts w:hint="eastAsia" w:ascii="宋体" w:hAnsi="宋体" w:eastAsia="宋体" w:cs="宋体"/>
                <w:color w:val="000000"/>
                <w:sz w:val="18"/>
                <w:szCs w:val="18"/>
                <w:lang w:val="en-US" w:eastAsia="zh-CN"/>
              </w:rPr>
              <w:t>&lt;10</w:t>
            </w:r>
          </w:p>
        </w:tc>
        <w:tc>
          <w:tcPr>
            <w:tcW w:w="1195" w:type="dxa"/>
            <w:vMerge w:val="continue"/>
            <w:shd w:val="clear" w:color="auto" w:fill="auto"/>
            <w:vAlign w:val="center"/>
          </w:tcPr>
          <w:p w14:paraId="46EF81FE">
            <w:pPr>
              <w:jc w:val="center"/>
              <w:rPr>
                <w:rFonts w:hint="eastAsia" w:ascii="宋体" w:hAnsi="宋体" w:eastAsia="宋体" w:cs="宋体"/>
                <w:color w:val="000000"/>
                <w:sz w:val="18"/>
                <w:szCs w:val="18"/>
                <w:lang w:val="en-US" w:eastAsia="zh-CN"/>
              </w:rPr>
            </w:pPr>
          </w:p>
        </w:tc>
      </w:tr>
      <w:tr w14:paraId="4D02E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015" w:type="dxa"/>
            <w:vMerge w:val="restart"/>
            <w:vAlign w:val="center"/>
          </w:tcPr>
          <w:p w14:paraId="01BCAEE4">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厂区内车间外5#</w:t>
            </w:r>
          </w:p>
        </w:tc>
        <w:tc>
          <w:tcPr>
            <w:tcW w:w="1321" w:type="dxa"/>
            <w:vMerge w:val="restart"/>
            <w:vAlign w:val="center"/>
          </w:tcPr>
          <w:p w14:paraId="5309BE0F">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非甲烷总烃</w:t>
            </w:r>
          </w:p>
          <w:p w14:paraId="1B70613E">
            <w:pPr>
              <w:jc w:val="center"/>
              <w:rPr>
                <w:rFonts w:hint="eastAsia" w:ascii="宋体" w:hAnsi="宋体" w:eastAsia="宋体" w:cs="宋体"/>
                <w:sz w:val="18"/>
                <w:szCs w:val="18"/>
              </w:rPr>
            </w:pPr>
            <w:r>
              <w:rPr>
                <w:rFonts w:hint="eastAsia" w:ascii="宋体" w:hAnsi="宋体" w:eastAsia="宋体" w:cs="宋体"/>
                <w:sz w:val="18"/>
                <w:szCs w:val="18"/>
                <w:lang w:val="en-US" w:eastAsia="zh-CN"/>
              </w:rPr>
              <w:t>（以碳计）</w:t>
            </w:r>
          </w:p>
        </w:tc>
        <w:tc>
          <w:tcPr>
            <w:tcW w:w="1293" w:type="dxa"/>
            <w:vMerge w:val="restart"/>
            <w:vAlign w:val="center"/>
          </w:tcPr>
          <w:p w14:paraId="04033363">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气袋</w:t>
            </w:r>
          </w:p>
        </w:tc>
        <w:tc>
          <w:tcPr>
            <w:tcW w:w="1343" w:type="dxa"/>
            <w:shd w:val="clear" w:color="auto" w:fill="auto"/>
            <w:vAlign w:val="center"/>
          </w:tcPr>
          <w:p w14:paraId="4376638E">
            <w:pPr>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第一次</w:t>
            </w:r>
          </w:p>
        </w:tc>
        <w:tc>
          <w:tcPr>
            <w:tcW w:w="1195" w:type="dxa"/>
            <w:vAlign w:val="center"/>
          </w:tcPr>
          <w:p w14:paraId="476E650F">
            <w:pPr>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1.20</w:t>
            </w:r>
          </w:p>
        </w:tc>
        <w:tc>
          <w:tcPr>
            <w:tcW w:w="1195" w:type="dxa"/>
            <w:shd w:val="clear" w:color="auto" w:fill="auto"/>
            <w:vAlign w:val="center"/>
          </w:tcPr>
          <w:p w14:paraId="6ED9FD73">
            <w:pPr>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2"/>
                <w:sz w:val="18"/>
                <w:szCs w:val="18"/>
                <w:lang w:val="en-US" w:eastAsia="zh-CN" w:bidi="ar-SA"/>
              </w:rPr>
              <w:t>1.20</w:t>
            </w:r>
          </w:p>
        </w:tc>
        <w:tc>
          <w:tcPr>
            <w:tcW w:w="1195" w:type="dxa"/>
            <w:vMerge w:val="restart"/>
            <w:vAlign w:val="center"/>
          </w:tcPr>
          <w:p w14:paraId="3976C5B8">
            <w:pPr>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2"/>
                <w:sz w:val="18"/>
                <w:szCs w:val="18"/>
                <w:lang w:val="en-US" w:eastAsia="zh-CN" w:bidi="ar-SA"/>
              </w:rPr>
              <w:t>6</w:t>
            </w:r>
          </w:p>
        </w:tc>
      </w:tr>
      <w:tr w14:paraId="29ABC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015" w:type="dxa"/>
            <w:vMerge w:val="continue"/>
            <w:vAlign w:val="center"/>
          </w:tcPr>
          <w:p w14:paraId="7C0B3685">
            <w:pPr>
              <w:jc w:val="center"/>
              <w:rPr>
                <w:rFonts w:hint="eastAsia" w:ascii="宋体" w:hAnsi="宋体" w:eastAsia="宋体" w:cs="宋体"/>
                <w:sz w:val="18"/>
                <w:szCs w:val="18"/>
              </w:rPr>
            </w:pPr>
          </w:p>
        </w:tc>
        <w:tc>
          <w:tcPr>
            <w:tcW w:w="1321" w:type="dxa"/>
            <w:vMerge w:val="continue"/>
            <w:vAlign w:val="center"/>
          </w:tcPr>
          <w:p w14:paraId="13484413">
            <w:pPr>
              <w:jc w:val="center"/>
              <w:rPr>
                <w:rFonts w:hint="eastAsia" w:ascii="宋体" w:hAnsi="宋体" w:eastAsia="宋体" w:cs="宋体"/>
                <w:sz w:val="18"/>
                <w:szCs w:val="18"/>
              </w:rPr>
            </w:pPr>
          </w:p>
        </w:tc>
        <w:tc>
          <w:tcPr>
            <w:tcW w:w="1293" w:type="dxa"/>
            <w:vMerge w:val="continue"/>
            <w:vAlign w:val="center"/>
          </w:tcPr>
          <w:p w14:paraId="6879F00B">
            <w:pPr>
              <w:jc w:val="center"/>
              <w:rPr>
                <w:rFonts w:hint="eastAsia" w:ascii="宋体" w:hAnsi="宋体" w:eastAsia="宋体" w:cs="宋体"/>
                <w:sz w:val="18"/>
                <w:szCs w:val="18"/>
              </w:rPr>
            </w:pPr>
          </w:p>
        </w:tc>
        <w:tc>
          <w:tcPr>
            <w:tcW w:w="1343" w:type="dxa"/>
            <w:shd w:val="clear" w:color="auto" w:fill="auto"/>
            <w:vAlign w:val="center"/>
          </w:tcPr>
          <w:p w14:paraId="195EAA39">
            <w:pPr>
              <w:widowControl/>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第二次</w:t>
            </w:r>
          </w:p>
        </w:tc>
        <w:tc>
          <w:tcPr>
            <w:tcW w:w="1195" w:type="dxa"/>
            <w:vAlign w:val="center"/>
          </w:tcPr>
          <w:p w14:paraId="19E1E986">
            <w:pPr>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1.24</w:t>
            </w:r>
          </w:p>
        </w:tc>
        <w:tc>
          <w:tcPr>
            <w:tcW w:w="1195" w:type="dxa"/>
            <w:shd w:val="clear" w:color="auto" w:fill="auto"/>
            <w:vAlign w:val="center"/>
          </w:tcPr>
          <w:p w14:paraId="3403D179">
            <w:pPr>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2"/>
                <w:sz w:val="18"/>
                <w:szCs w:val="18"/>
                <w:lang w:val="en-US" w:eastAsia="zh-CN" w:bidi="ar-SA"/>
              </w:rPr>
              <w:t>1.18</w:t>
            </w:r>
          </w:p>
        </w:tc>
        <w:tc>
          <w:tcPr>
            <w:tcW w:w="1195" w:type="dxa"/>
            <w:vMerge w:val="continue"/>
            <w:vAlign w:val="center"/>
          </w:tcPr>
          <w:p w14:paraId="4DCD0C1F">
            <w:pPr>
              <w:jc w:val="center"/>
              <w:rPr>
                <w:rFonts w:hint="eastAsia" w:ascii="宋体" w:hAnsi="宋体" w:eastAsia="宋体" w:cs="宋体"/>
                <w:color w:val="000000"/>
                <w:kern w:val="2"/>
                <w:sz w:val="18"/>
                <w:szCs w:val="18"/>
                <w:lang w:val="en-US" w:eastAsia="zh-CN" w:bidi="ar-SA"/>
              </w:rPr>
            </w:pPr>
          </w:p>
        </w:tc>
      </w:tr>
      <w:tr w14:paraId="04537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015" w:type="dxa"/>
            <w:vMerge w:val="continue"/>
            <w:vAlign w:val="center"/>
          </w:tcPr>
          <w:p w14:paraId="5A61C88A">
            <w:pPr>
              <w:jc w:val="center"/>
              <w:rPr>
                <w:rFonts w:hint="eastAsia" w:ascii="宋体" w:hAnsi="宋体" w:eastAsia="宋体" w:cs="宋体"/>
                <w:sz w:val="18"/>
                <w:szCs w:val="18"/>
              </w:rPr>
            </w:pPr>
          </w:p>
        </w:tc>
        <w:tc>
          <w:tcPr>
            <w:tcW w:w="1321" w:type="dxa"/>
            <w:vMerge w:val="continue"/>
            <w:vAlign w:val="center"/>
          </w:tcPr>
          <w:p w14:paraId="0A1ED4F8">
            <w:pPr>
              <w:jc w:val="center"/>
              <w:rPr>
                <w:rFonts w:hint="eastAsia" w:ascii="宋体" w:hAnsi="宋体" w:eastAsia="宋体" w:cs="宋体"/>
                <w:sz w:val="18"/>
                <w:szCs w:val="18"/>
              </w:rPr>
            </w:pPr>
          </w:p>
        </w:tc>
        <w:tc>
          <w:tcPr>
            <w:tcW w:w="1293" w:type="dxa"/>
            <w:vMerge w:val="continue"/>
            <w:vAlign w:val="center"/>
          </w:tcPr>
          <w:p w14:paraId="1EA8A7E0">
            <w:pPr>
              <w:jc w:val="center"/>
              <w:rPr>
                <w:rFonts w:hint="eastAsia" w:ascii="宋体" w:hAnsi="宋体" w:eastAsia="宋体" w:cs="宋体"/>
                <w:sz w:val="18"/>
                <w:szCs w:val="18"/>
              </w:rPr>
            </w:pPr>
          </w:p>
        </w:tc>
        <w:tc>
          <w:tcPr>
            <w:tcW w:w="1343" w:type="dxa"/>
            <w:shd w:val="clear" w:color="auto" w:fill="auto"/>
            <w:vAlign w:val="center"/>
          </w:tcPr>
          <w:p w14:paraId="352B5A64">
            <w:pPr>
              <w:widowControl/>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第三次</w:t>
            </w:r>
          </w:p>
        </w:tc>
        <w:tc>
          <w:tcPr>
            <w:tcW w:w="1195" w:type="dxa"/>
            <w:vAlign w:val="center"/>
          </w:tcPr>
          <w:p w14:paraId="2C662F07">
            <w:pPr>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1.23</w:t>
            </w:r>
          </w:p>
        </w:tc>
        <w:tc>
          <w:tcPr>
            <w:tcW w:w="1195" w:type="dxa"/>
            <w:shd w:val="clear" w:color="auto" w:fill="auto"/>
            <w:vAlign w:val="center"/>
          </w:tcPr>
          <w:p w14:paraId="3E820050">
            <w:pPr>
              <w:jc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2"/>
                <w:sz w:val="18"/>
                <w:szCs w:val="18"/>
                <w:lang w:val="en-US" w:eastAsia="zh-CN" w:bidi="ar-SA"/>
              </w:rPr>
              <w:t>1.20</w:t>
            </w:r>
          </w:p>
        </w:tc>
        <w:tc>
          <w:tcPr>
            <w:tcW w:w="1195" w:type="dxa"/>
            <w:vMerge w:val="continue"/>
            <w:vAlign w:val="center"/>
          </w:tcPr>
          <w:p w14:paraId="1449A43F">
            <w:pPr>
              <w:jc w:val="center"/>
              <w:rPr>
                <w:rFonts w:hint="eastAsia" w:ascii="宋体" w:hAnsi="宋体" w:eastAsia="宋体" w:cs="宋体"/>
                <w:color w:val="000000"/>
                <w:kern w:val="2"/>
                <w:sz w:val="18"/>
                <w:szCs w:val="18"/>
                <w:lang w:val="en-US" w:eastAsia="zh-CN" w:bidi="ar-SA"/>
              </w:rPr>
            </w:pPr>
          </w:p>
        </w:tc>
      </w:tr>
      <w:tr w14:paraId="57AB5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015" w:type="dxa"/>
            <w:vMerge w:val="continue"/>
            <w:vAlign w:val="center"/>
          </w:tcPr>
          <w:p w14:paraId="57CFF9C6">
            <w:pPr>
              <w:jc w:val="center"/>
              <w:rPr>
                <w:rFonts w:hint="eastAsia" w:ascii="宋体" w:hAnsi="宋体" w:eastAsia="宋体" w:cs="宋体"/>
                <w:sz w:val="18"/>
                <w:szCs w:val="18"/>
              </w:rPr>
            </w:pPr>
          </w:p>
        </w:tc>
        <w:tc>
          <w:tcPr>
            <w:tcW w:w="1321" w:type="dxa"/>
            <w:vMerge w:val="continue"/>
            <w:vAlign w:val="center"/>
          </w:tcPr>
          <w:p w14:paraId="606D5D3C">
            <w:pPr>
              <w:jc w:val="center"/>
              <w:rPr>
                <w:rFonts w:hint="eastAsia" w:ascii="宋体" w:hAnsi="宋体" w:eastAsia="宋体" w:cs="宋体"/>
                <w:sz w:val="18"/>
                <w:szCs w:val="18"/>
              </w:rPr>
            </w:pPr>
          </w:p>
        </w:tc>
        <w:tc>
          <w:tcPr>
            <w:tcW w:w="1293" w:type="dxa"/>
            <w:vMerge w:val="continue"/>
            <w:vAlign w:val="center"/>
          </w:tcPr>
          <w:p w14:paraId="51F1C13E">
            <w:pPr>
              <w:jc w:val="center"/>
              <w:rPr>
                <w:rFonts w:hint="eastAsia" w:ascii="宋体" w:hAnsi="宋体" w:eastAsia="宋体" w:cs="宋体"/>
                <w:sz w:val="18"/>
                <w:szCs w:val="18"/>
              </w:rPr>
            </w:pPr>
          </w:p>
        </w:tc>
        <w:tc>
          <w:tcPr>
            <w:tcW w:w="1343" w:type="dxa"/>
            <w:shd w:val="clear" w:color="auto" w:fill="auto"/>
            <w:vAlign w:val="center"/>
          </w:tcPr>
          <w:p w14:paraId="14EFD13E">
            <w:pPr>
              <w:widowControl/>
              <w:jc w:val="center"/>
              <w:rPr>
                <w:rFonts w:hint="eastAsia" w:ascii="宋体" w:hAnsi="宋体" w:eastAsia="宋体" w:cs="宋体"/>
                <w:sz w:val="18"/>
                <w:szCs w:val="18"/>
              </w:rPr>
            </w:pPr>
            <w:r>
              <w:rPr>
                <w:rFonts w:hint="eastAsia" w:ascii="宋体" w:hAnsi="宋体" w:eastAsia="宋体" w:cs="宋体"/>
                <w:sz w:val="18"/>
                <w:szCs w:val="18"/>
                <w:lang w:val="en-US" w:eastAsia="zh-CN"/>
              </w:rPr>
              <w:t>第四次</w:t>
            </w:r>
          </w:p>
        </w:tc>
        <w:tc>
          <w:tcPr>
            <w:tcW w:w="1195" w:type="dxa"/>
            <w:vAlign w:val="center"/>
          </w:tcPr>
          <w:p w14:paraId="45B40D54">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1.24</w:t>
            </w:r>
          </w:p>
        </w:tc>
        <w:tc>
          <w:tcPr>
            <w:tcW w:w="1195" w:type="dxa"/>
            <w:shd w:val="clear" w:color="auto" w:fill="auto"/>
            <w:vAlign w:val="center"/>
          </w:tcPr>
          <w:p w14:paraId="0B7E8EC7">
            <w:pPr>
              <w:jc w:val="center"/>
              <w:rPr>
                <w:rFonts w:hint="eastAsia" w:ascii="宋体" w:hAnsi="宋体" w:eastAsia="宋体" w:cs="宋体"/>
                <w:kern w:val="2"/>
                <w:sz w:val="18"/>
                <w:szCs w:val="18"/>
                <w:lang w:val="en-US" w:eastAsia="zh-CN" w:bidi="ar-SA"/>
              </w:rPr>
            </w:pPr>
            <w:r>
              <w:rPr>
                <w:rFonts w:hint="eastAsia" w:ascii="宋体" w:hAnsi="宋体" w:eastAsia="宋体" w:cs="宋体"/>
                <w:kern w:val="2"/>
                <w:sz w:val="18"/>
                <w:szCs w:val="18"/>
                <w:lang w:val="en-US" w:eastAsia="zh-CN" w:bidi="ar-SA"/>
              </w:rPr>
              <w:t>1.20</w:t>
            </w:r>
          </w:p>
        </w:tc>
        <w:tc>
          <w:tcPr>
            <w:tcW w:w="1195" w:type="dxa"/>
            <w:vMerge w:val="continue"/>
            <w:vAlign w:val="center"/>
          </w:tcPr>
          <w:p w14:paraId="15351AC7">
            <w:pPr>
              <w:jc w:val="center"/>
              <w:rPr>
                <w:rFonts w:hint="eastAsia" w:ascii="宋体" w:hAnsi="宋体" w:eastAsia="宋体" w:cs="宋体"/>
                <w:kern w:val="2"/>
                <w:sz w:val="18"/>
                <w:szCs w:val="18"/>
                <w:lang w:val="en-US" w:eastAsia="zh-CN" w:bidi="ar-SA"/>
              </w:rPr>
            </w:pPr>
          </w:p>
        </w:tc>
      </w:tr>
      <w:tr w14:paraId="5A1A1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015" w:type="dxa"/>
            <w:vMerge w:val="continue"/>
            <w:vAlign w:val="center"/>
          </w:tcPr>
          <w:p w14:paraId="76F7FACB">
            <w:pPr>
              <w:jc w:val="center"/>
              <w:rPr>
                <w:rFonts w:hint="eastAsia" w:ascii="宋体" w:hAnsi="宋体" w:eastAsia="宋体" w:cs="宋体"/>
                <w:sz w:val="18"/>
                <w:szCs w:val="18"/>
              </w:rPr>
            </w:pPr>
          </w:p>
        </w:tc>
        <w:tc>
          <w:tcPr>
            <w:tcW w:w="1321" w:type="dxa"/>
            <w:vMerge w:val="continue"/>
            <w:vAlign w:val="center"/>
          </w:tcPr>
          <w:p w14:paraId="2F2931CF">
            <w:pPr>
              <w:jc w:val="center"/>
              <w:rPr>
                <w:rFonts w:hint="eastAsia" w:ascii="宋体" w:hAnsi="宋体" w:eastAsia="宋体" w:cs="宋体"/>
                <w:sz w:val="18"/>
                <w:szCs w:val="18"/>
              </w:rPr>
            </w:pPr>
          </w:p>
        </w:tc>
        <w:tc>
          <w:tcPr>
            <w:tcW w:w="1293" w:type="dxa"/>
            <w:vMerge w:val="continue"/>
            <w:vAlign w:val="center"/>
          </w:tcPr>
          <w:p w14:paraId="48B88FBF">
            <w:pPr>
              <w:jc w:val="center"/>
              <w:rPr>
                <w:rFonts w:hint="eastAsia" w:ascii="宋体" w:hAnsi="宋体" w:eastAsia="宋体" w:cs="宋体"/>
                <w:sz w:val="18"/>
                <w:szCs w:val="18"/>
              </w:rPr>
            </w:pPr>
          </w:p>
        </w:tc>
        <w:tc>
          <w:tcPr>
            <w:tcW w:w="1343" w:type="dxa"/>
            <w:shd w:val="clear" w:color="auto" w:fill="auto"/>
            <w:vAlign w:val="center"/>
          </w:tcPr>
          <w:p w14:paraId="7DFF8AC3">
            <w:pPr>
              <w:widowControl/>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平均</w:t>
            </w:r>
            <w:r>
              <w:rPr>
                <w:rFonts w:hint="eastAsia" w:ascii="宋体" w:hAnsi="宋体" w:eastAsia="宋体" w:cs="宋体"/>
                <w:sz w:val="18"/>
                <w:szCs w:val="18"/>
              </w:rPr>
              <w:t>值</w:t>
            </w:r>
          </w:p>
        </w:tc>
        <w:tc>
          <w:tcPr>
            <w:tcW w:w="1195" w:type="dxa"/>
            <w:vAlign w:val="center"/>
          </w:tcPr>
          <w:p w14:paraId="7D3C1F33">
            <w:pPr>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1.23</w:t>
            </w:r>
          </w:p>
        </w:tc>
        <w:tc>
          <w:tcPr>
            <w:tcW w:w="1195" w:type="dxa"/>
            <w:vAlign w:val="center"/>
          </w:tcPr>
          <w:p w14:paraId="48B791A7">
            <w:pPr>
              <w:jc w:val="center"/>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1.20</w:t>
            </w:r>
          </w:p>
        </w:tc>
        <w:tc>
          <w:tcPr>
            <w:tcW w:w="1195" w:type="dxa"/>
            <w:vMerge w:val="continue"/>
            <w:vAlign w:val="center"/>
          </w:tcPr>
          <w:p w14:paraId="15293032">
            <w:pPr>
              <w:jc w:val="center"/>
              <w:rPr>
                <w:rFonts w:hint="eastAsia" w:ascii="宋体" w:hAnsi="宋体" w:eastAsia="宋体" w:cs="宋体"/>
                <w:color w:val="000000"/>
                <w:sz w:val="18"/>
                <w:szCs w:val="18"/>
                <w:lang w:val="en-US" w:eastAsia="zh-CN"/>
              </w:rPr>
            </w:pPr>
          </w:p>
        </w:tc>
      </w:tr>
    </w:tbl>
    <w:p w14:paraId="593633AA">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default" w:ascii="宋体" w:hAnsi="宋体" w:eastAsia="宋体" w:cs="宋体"/>
          <w:b w:val="0"/>
          <w:bCs/>
          <w:kern w:val="2"/>
          <w:sz w:val="24"/>
          <w:szCs w:val="24"/>
          <w:lang w:val="en-US" w:eastAsia="zh-CN" w:bidi="ar-SA"/>
        </w:rPr>
      </w:pPr>
    </w:p>
    <w:p w14:paraId="4687904C">
      <w:pPr>
        <w:pStyle w:val="21"/>
        <w:rPr>
          <w:rFonts w:hint="eastAsia" w:ascii="宋体" w:hAnsi="宋体" w:eastAsia="宋体" w:cs="宋体"/>
          <w:b w:val="0"/>
          <w:bCs w:val="0"/>
          <w:color w:val="auto"/>
          <w:sz w:val="24"/>
          <w:szCs w:val="24"/>
          <w:lang w:val="en-US" w:eastAsia="zh-CN"/>
        </w:rPr>
      </w:pPr>
      <w:r>
        <w:rPr>
          <w:rFonts w:hint="eastAsia" w:ascii="宋体" w:hAnsi="宋体" w:eastAsia="宋体" w:cs="宋体"/>
          <w:b w:val="0"/>
          <w:bCs/>
          <w:color w:val="auto"/>
          <w:sz w:val="24"/>
          <w:szCs w:val="24"/>
          <w:lang w:val="en-US" w:eastAsia="zh-CN"/>
        </w:rPr>
        <w:t>（4）监测结果评价</w:t>
      </w:r>
    </w:p>
    <w:p w14:paraId="4002C4E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监测期间，杭州广汇包装材料有限公司运营过程中产生的废气主要为制袋、吹膜、印刷过程中产生的有机废气（非甲烷总烃）和恶臭。经检测非甲烷总烃排放浓度、臭气浓度（无量纲）均满足《合成树脂工业污染物排放标准》(GB31572-2015)中表5和表9规定的大气污染物特别排放限值要求；厂区内VOCs无组织排放执行《挥发性有机物无组织排放控制标准》（GB37822-2019）中特别排放限值标准。臭气浓度排放执行《恶臭污染物排放标准》（GB14554-93）表 1、表 2限值。</w:t>
      </w:r>
    </w:p>
    <w:p w14:paraId="57B6777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排气筒高度均为15m，满足标准要求，非甲烷总烃去除效率77.6%，基本能满足环评审批要求。</w:t>
      </w:r>
    </w:p>
    <w:p w14:paraId="7C194F2D">
      <w:pPr>
        <w:keepNext w:val="0"/>
        <w:keepLines w:val="0"/>
        <w:pageBreakBefore w:val="0"/>
        <w:widowControl w:val="0"/>
        <w:numPr>
          <w:ilvl w:val="0"/>
          <w:numId w:val="0"/>
        </w:numPr>
        <w:kinsoku/>
        <w:wordWrap/>
        <w:overflowPunct/>
        <w:topLinePunct w:val="0"/>
        <w:autoSpaceDE w:val="0"/>
        <w:autoSpaceDN/>
        <w:bidi w:val="0"/>
        <w:adjustRightInd/>
        <w:snapToGrid/>
        <w:spacing w:line="360" w:lineRule="auto"/>
        <w:ind w:leftChars="0" w:right="0" w:rightChars="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（5）噪声监测结果</w:t>
      </w:r>
    </w:p>
    <w:p w14:paraId="4A4F321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color w:val="auto"/>
          <w:sz w:val="24"/>
          <w:szCs w:val="24"/>
        </w:rPr>
      </w:pPr>
      <w:r>
        <w:rPr>
          <w:rFonts w:hint="eastAsia" w:ascii="宋体" w:hAnsi="宋体" w:eastAsia="宋体" w:cs="宋体"/>
          <w:b w:val="0"/>
          <w:bCs/>
          <w:sz w:val="24"/>
          <w:szCs w:val="24"/>
          <w:lang w:val="en-US" w:eastAsia="zh-CN"/>
        </w:rPr>
        <w:t>为了解本项目运营过程中对周边环境的噪声影响，</w:t>
      </w:r>
      <w:r>
        <w:rPr>
          <w:rFonts w:hint="eastAsia" w:ascii="宋体" w:hAnsi="宋体" w:eastAsia="宋体" w:cs="宋体"/>
          <w:b w:val="0"/>
          <w:bCs/>
          <w:sz w:val="24"/>
          <w:szCs w:val="24"/>
          <w:lang w:eastAsia="zh-CN"/>
        </w:rPr>
        <w:t>在符合监测要求处设置</w:t>
      </w:r>
      <w:r>
        <w:rPr>
          <w:rFonts w:hint="eastAsia" w:ascii="宋体" w:hAnsi="宋体" w:eastAsia="宋体" w:cs="宋体"/>
          <w:b w:val="0"/>
          <w:bCs/>
          <w:sz w:val="24"/>
          <w:szCs w:val="24"/>
        </w:rPr>
        <w:t>设</w:t>
      </w:r>
      <w:r>
        <w:rPr>
          <w:rFonts w:hint="eastAsia" w:ascii="宋体" w:hAnsi="宋体" w:eastAsia="宋体" w:cs="宋体"/>
          <w:b w:val="0"/>
          <w:bCs/>
          <w:sz w:val="24"/>
          <w:szCs w:val="24"/>
          <w:lang w:val="en-US" w:eastAsia="zh-CN"/>
        </w:rPr>
        <w:t>4</w:t>
      </w:r>
      <w:r>
        <w:rPr>
          <w:rFonts w:hint="eastAsia" w:ascii="宋体" w:hAnsi="宋体" w:eastAsia="宋体" w:cs="宋体"/>
          <w:b w:val="0"/>
          <w:bCs/>
          <w:sz w:val="24"/>
          <w:szCs w:val="24"/>
        </w:rPr>
        <w:t>个监测点，监测结果</w:t>
      </w:r>
      <w:r>
        <w:rPr>
          <w:rFonts w:hint="eastAsia" w:ascii="宋体" w:hAnsi="宋体" w:eastAsia="宋体" w:cs="宋体"/>
          <w:b w:val="0"/>
          <w:bCs/>
          <w:color w:val="auto"/>
          <w:sz w:val="24"/>
          <w:szCs w:val="24"/>
        </w:rPr>
        <w:t>见</w:t>
      </w:r>
      <w:r>
        <w:rPr>
          <w:rFonts w:hint="eastAsia" w:ascii="宋体" w:hAnsi="宋体" w:eastAsia="宋体" w:cs="宋体"/>
          <w:b w:val="0"/>
          <w:bCs/>
          <w:color w:val="auto"/>
          <w:sz w:val="24"/>
          <w:szCs w:val="24"/>
          <w:lang w:eastAsia="zh-CN"/>
        </w:rPr>
        <w:t>下表</w:t>
      </w:r>
      <w:r>
        <w:rPr>
          <w:rFonts w:hint="eastAsia" w:ascii="宋体" w:hAnsi="宋体" w:eastAsia="宋体" w:cs="宋体"/>
          <w:b w:val="0"/>
          <w:bCs/>
          <w:color w:val="auto"/>
          <w:sz w:val="24"/>
          <w:szCs w:val="24"/>
        </w:rPr>
        <w:t>：</w:t>
      </w:r>
    </w:p>
    <w:p w14:paraId="74D90F3C">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default"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表9-</w:t>
      </w:r>
      <w:r>
        <w:rPr>
          <w:rFonts w:hint="eastAsia" w:ascii="宋体" w:hAnsi="宋体" w:cs="宋体"/>
          <w:b w:val="0"/>
          <w:bCs/>
          <w:kern w:val="2"/>
          <w:sz w:val="24"/>
          <w:szCs w:val="24"/>
          <w:lang w:val="en-US" w:eastAsia="zh-CN" w:bidi="ar-SA"/>
        </w:rPr>
        <w:t>4昼间</w:t>
      </w:r>
      <w:r>
        <w:rPr>
          <w:rFonts w:hint="eastAsia" w:ascii="宋体" w:hAnsi="宋体" w:eastAsia="宋体" w:cs="宋体"/>
          <w:b w:val="0"/>
          <w:bCs/>
          <w:kern w:val="2"/>
          <w:sz w:val="24"/>
          <w:szCs w:val="24"/>
          <w:lang w:val="en-US" w:eastAsia="zh-CN" w:bidi="ar-SA"/>
        </w:rPr>
        <w:t>噪声检测结果</w:t>
      </w:r>
    </w:p>
    <w:tbl>
      <w:tblPr>
        <w:tblStyle w:val="14"/>
        <w:tblW w:w="49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1392"/>
        <w:gridCol w:w="1611"/>
        <w:gridCol w:w="1444"/>
        <w:gridCol w:w="1298"/>
        <w:gridCol w:w="1298"/>
      </w:tblGrid>
      <w:tr w14:paraId="3DF13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blHeader/>
          <w:jc w:val="center"/>
        </w:trPr>
        <w:tc>
          <w:tcPr>
            <w:tcW w:w="1700" w:type="dxa"/>
            <w:vMerge w:val="restart"/>
            <w:vAlign w:val="center"/>
          </w:tcPr>
          <w:p w14:paraId="22A43ED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检测点位</w:t>
            </w:r>
          </w:p>
        </w:tc>
        <w:tc>
          <w:tcPr>
            <w:tcW w:w="8239" w:type="dxa"/>
            <w:gridSpan w:val="5"/>
            <w:vAlign w:val="center"/>
          </w:tcPr>
          <w:p w14:paraId="04DC99C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昼间dB（A）</w:t>
            </w:r>
          </w:p>
        </w:tc>
      </w:tr>
      <w:tr w14:paraId="60E95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blHeader/>
          <w:jc w:val="center"/>
        </w:trPr>
        <w:tc>
          <w:tcPr>
            <w:tcW w:w="1700" w:type="dxa"/>
            <w:vMerge w:val="continue"/>
            <w:vAlign w:val="center"/>
          </w:tcPr>
          <w:p w14:paraId="35030AA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3514" w:type="dxa"/>
            <w:gridSpan w:val="2"/>
            <w:vAlign w:val="center"/>
          </w:tcPr>
          <w:p w14:paraId="0527189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检测时间</w:t>
            </w:r>
          </w:p>
        </w:tc>
        <w:tc>
          <w:tcPr>
            <w:tcW w:w="1689" w:type="dxa"/>
            <w:vAlign w:val="center"/>
          </w:tcPr>
          <w:p w14:paraId="5AFF10E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主要声源</w:t>
            </w:r>
          </w:p>
        </w:tc>
        <w:tc>
          <w:tcPr>
            <w:tcW w:w="1518" w:type="dxa"/>
            <w:vAlign w:val="center"/>
          </w:tcPr>
          <w:p w14:paraId="67DB3053">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Leq</w:t>
            </w:r>
          </w:p>
        </w:tc>
        <w:tc>
          <w:tcPr>
            <w:tcW w:w="1518" w:type="dxa"/>
            <w:vAlign w:val="center"/>
          </w:tcPr>
          <w:p w14:paraId="5DCEB28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限值</w:t>
            </w:r>
          </w:p>
        </w:tc>
      </w:tr>
      <w:tr w14:paraId="387F1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700" w:type="dxa"/>
            <w:vAlign w:val="center"/>
          </w:tcPr>
          <w:p w14:paraId="61A3B6F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w:t>
            </w:r>
            <w:r>
              <w:rPr>
                <w:rFonts w:hint="eastAsia" w:ascii="宋体" w:hAnsi="宋体" w:eastAsia="宋体" w:cs="宋体"/>
                <w:color w:val="auto"/>
                <w:sz w:val="21"/>
                <w:szCs w:val="21"/>
                <w:lang w:val="en-US" w:eastAsia="zh-CN"/>
              </w:rPr>
              <w:t>东</w:t>
            </w:r>
            <w:r>
              <w:rPr>
                <w:rFonts w:hint="eastAsia" w:ascii="宋体" w:hAnsi="宋体" w:eastAsia="宋体" w:cs="宋体"/>
                <w:color w:val="auto"/>
                <w:sz w:val="21"/>
                <w:szCs w:val="21"/>
              </w:rPr>
              <w:t>1#</w:t>
            </w:r>
          </w:p>
        </w:tc>
        <w:tc>
          <w:tcPr>
            <w:tcW w:w="1629" w:type="dxa"/>
            <w:vMerge w:val="restart"/>
            <w:vAlign w:val="center"/>
          </w:tcPr>
          <w:p w14:paraId="5C918E85">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2025.06.30</w:t>
            </w:r>
          </w:p>
        </w:tc>
        <w:tc>
          <w:tcPr>
            <w:tcW w:w="1885" w:type="dxa"/>
            <w:vAlign w:val="center"/>
          </w:tcPr>
          <w:p w14:paraId="22F84DD1">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15:40-15:42</w:t>
            </w:r>
          </w:p>
        </w:tc>
        <w:tc>
          <w:tcPr>
            <w:tcW w:w="1689" w:type="dxa"/>
            <w:vAlign w:val="center"/>
          </w:tcPr>
          <w:p w14:paraId="6E365DA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设备噪声</w:t>
            </w:r>
          </w:p>
        </w:tc>
        <w:tc>
          <w:tcPr>
            <w:tcW w:w="1518" w:type="dxa"/>
            <w:vAlign w:val="center"/>
          </w:tcPr>
          <w:p w14:paraId="28AE508E">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53</w:t>
            </w:r>
          </w:p>
        </w:tc>
        <w:tc>
          <w:tcPr>
            <w:tcW w:w="1518" w:type="dxa"/>
            <w:vMerge w:val="restart"/>
            <w:vAlign w:val="center"/>
          </w:tcPr>
          <w:p w14:paraId="1DE86790">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60</w:t>
            </w:r>
          </w:p>
        </w:tc>
      </w:tr>
      <w:tr w14:paraId="3E686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700" w:type="dxa"/>
            <w:vAlign w:val="center"/>
          </w:tcPr>
          <w:p w14:paraId="4438F31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厂界南</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w:t>
            </w:r>
          </w:p>
        </w:tc>
        <w:tc>
          <w:tcPr>
            <w:tcW w:w="1629" w:type="dxa"/>
            <w:vMerge w:val="continue"/>
            <w:vAlign w:val="center"/>
          </w:tcPr>
          <w:p w14:paraId="18A4DF8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885" w:type="dxa"/>
            <w:vAlign w:val="center"/>
          </w:tcPr>
          <w:p w14:paraId="3BC2C175">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15:44-15:46</w:t>
            </w:r>
          </w:p>
        </w:tc>
        <w:tc>
          <w:tcPr>
            <w:tcW w:w="1689" w:type="dxa"/>
            <w:vAlign w:val="center"/>
          </w:tcPr>
          <w:p w14:paraId="40A2D14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设备噪声</w:t>
            </w:r>
          </w:p>
        </w:tc>
        <w:tc>
          <w:tcPr>
            <w:tcW w:w="1518" w:type="dxa"/>
            <w:vAlign w:val="center"/>
          </w:tcPr>
          <w:p w14:paraId="4FE0EBFF">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53</w:t>
            </w:r>
          </w:p>
        </w:tc>
        <w:tc>
          <w:tcPr>
            <w:tcW w:w="1518" w:type="dxa"/>
            <w:vMerge w:val="continue"/>
            <w:vAlign w:val="center"/>
          </w:tcPr>
          <w:p w14:paraId="1D6E37C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r>
      <w:tr w14:paraId="2DCD3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700" w:type="dxa"/>
            <w:vAlign w:val="center"/>
          </w:tcPr>
          <w:p w14:paraId="608FA75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w:t>
            </w:r>
            <w:r>
              <w:rPr>
                <w:rFonts w:hint="eastAsia" w:ascii="宋体" w:hAnsi="宋体" w:eastAsia="宋体" w:cs="宋体"/>
                <w:color w:val="auto"/>
                <w:sz w:val="21"/>
                <w:szCs w:val="21"/>
                <w:lang w:val="en-US" w:eastAsia="zh-CN"/>
              </w:rPr>
              <w:t>西3</w:t>
            </w:r>
            <w:r>
              <w:rPr>
                <w:rFonts w:hint="eastAsia" w:ascii="宋体" w:hAnsi="宋体" w:eastAsia="宋体" w:cs="宋体"/>
                <w:color w:val="auto"/>
                <w:sz w:val="21"/>
                <w:szCs w:val="21"/>
              </w:rPr>
              <w:t>#</w:t>
            </w:r>
          </w:p>
        </w:tc>
        <w:tc>
          <w:tcPr>
            <w:tcW w:w="1629" w:type="dxa"/>
            <w:vMerge w:val="continue"/>
            <w:vAlign w:val="center"/>
          </w:tcPr>
          <w:p w14:paraId="13F5B47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885" w:type="dxa"/>
            <w:vAlign w:val="center"/>
          </w:tcPr>
          <w:p w14:paraId="3F5BC35B">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15:49-15:51</w:t>
            </w:r>
          </w:p>
        </w:tc>
        <w:tc>
          <w:tcPr>
            <w:tcW w:w="1689" w:type="dxa"/>
            <w:vAlign w:val="center"/>
          </w:tcPr>
          <w:p w14:paraId="1A15099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设备噪声</w:t>
            </w:r>
          </w:p>
        </w:tc>
        <w:tc>
          <w:tcPr>
            <w:tcW w:w="1518" w:type="dxa"/>
            <w:vAlign w:val="center"/>
          </w:tcPr>
          <w:p w14:paraId="0350A94D">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50</w:t>
            </w:r>
          </w:p>
        </w:tc>
        <w:tc>
          <w:tcPr>
            <w:tcW w:w="1518" w:type="dxa"/>
            <w:vMerge w:val="continue"/>
            <w:vAlign w:val="center"/>
          </w:tcPr>
          <w:p w14:paraId="2E3BC62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r>
      <w:tr w14:paraId="592EE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700" w:type="dxa"/>
            <w:vAlign w:val="center"/>
          </w:tcPr>
          <w:p w14:paraId="70C8E8C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厂界北</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w:t>
            </w:r>
          </w:p>
        </w:tc>
        <w:tc>
          <w:tcPr>
            <w:tcW w:w="1629" w:type="dxa"/>
            <w:vMerge w:val="continue"/>
            <w:vAlign w:val="center"/>
          </w:tcPr>
          <w:p w14:paraId="31E33DA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885" w:type="dxa"/>
            <w:vAlign w:val="center"/>
          </w:tcPr>
          <w:p w14:paraId="7AA1E633">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15:54-15:56</w:t>
            </w:r>
          </w:p>
        </w:tc>
        <w:tc>
          <w:tcPr>
            <w:tcW w:w="1689" w:type="dxa"/>
            <w:vAlign w:val="center"/>
          </w:tcPr>
          <w:p w14:paraId="72E50FF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设备噪声</w:t>
            </w:r>
          </w:p>
        </w:tc>
        <w:tc>
          <w:tcPr>
            <w:tcW w:w="1518" w:type="dxa"/>
            <w:vAlign w:val="center"/>
          </w:tcPr>
          <w:p w14:paraId="439FF2D4">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52</w:t>
            </w:r>
          </w:p>
        </w:tc>
        <w:tc>
          <w:tcPr>
            <w:tcW w:w="1518" w:type="dxa"/>
            <w:vMerge w:val="continue"/>
            <w:vAlign w:val="center"/>
          </w:tcPr>
          <w:p w14:paraId="2946F03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r>
      <w:tr w14:paraId="65AC4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700" w:type="dxa"/>
            <w:vAlign w:val="center"/>
          </w:tcPr>
          <w:p w14:paraId="3751F49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厂界</w:t>
            </w:r>
            <w:r>
              <w:rPr>
                <w:rFonts w:hint="eastAsia" w:ascii="宋体" w:hAnsi="宋体" w:eastAsia="宋体" w:cs="宋体"/>
                <w:color w:val="auto"/>
                <w:sz w:val="21"/>
                <w:szCs w:val="21"/>
                <w:lang w:val="en-US" w:eastAsia="zh-CN"/>
              </w:rPr>
              <w:t>东</w:t>
            </w:r>
            <w:r>
              <w:rPr>
                <w:rFonts w:hint="eastAsia" w:ascii="宋体" w:hAnsi="宋体" w:eastAsia="宋体" w:cs="宋体"/>
                <w:color w:val="auto"/>
                <w:sz w:val="21"/>
                <w:szCs w:val="21"/>
              </w:rPr>
              <w:t>1#</w:t>
            </w:r>
          </w:p>
        </w:tc>
        <w:tc>
          <w:tcPr>
            <w:tcW w:w="1629" w:type="dxa"/>
            <w:vMerge w:val="restart"/>
            <w:vAlign w:val="center"/>
          </w:tcPr>
          <w:p w14:paraId="3D0485DE">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2025.07.01</w:t>
            </w:r>
          </w:p>
        </w:tc>
        <w:tc>
          <w:tcPr>
            <w:tcW w:w="1885" w:type="dxa"/>
            <w:vAlign w:val="center"/>
          </w:tcPr>
          <w:p w14:paraId="705462C7">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15:36-15:38</w:t>
            </w:r>
          </w:p>
        </w:tc>
        <w:tc>
          <w:tcPr>
            <w:tcW w:w="1689" w:type="dxa"/>
            <w:vAlign w:val="center"/>
          </w:tcPr>
          <w:p w14:paraId="4AD6FA7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设备噪声</w:t>
            </w:r>
          </w:p>
        </w:tc>
        <w:tc>
          <w:tcPr>
            <w:tcW w:w="1518" w:type="dxa"/>
            <w:vAlign w:val="center"/>
          </w:tcPr>
          <w:p w14:paraId="3CB4EA04">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53</w:t>
            </w:r>
          </w:p>
        </w:tc>
        <w:tc>
          <w:tcPr>
            <w:tcW w:w="1518" w:type="dxa"/>
            <w:vMerge w:val="restart"/>
            <w:vAlign w:val="center"/>
          </w:tcPr>
          <w:p w14:paraId="56F2D4F8">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60</w:t>
            </w:r>
          </w:p>
        </w:tc>
      </w:tr>
      <w:tr w14:paraId="343B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700" w:type="dxa"/>
            <w:vAlign w:val="center"/>
          </w:tcPr>
          <w:p w14:paraId="5513302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厂界南</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w:t>
            </w:r>
          </w:p>
        </w:tc>
        <w:tc>
          <w:tcPr>
            <w:tcW w:w="1629" w:type="dxa"/>
            <w:vMerge w:val="continue"/>
            <w:vAlign w:val="center"/>
          </w:tcPr>
          <w:p w14:paraId="69D4589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885" w:type="dxa"/>
            <w:vAlign w:val="center"/>
          </w:tcPr>
          <w:p w14:paraId="173B7179">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15:41-15:43</w:t>
            </w:r>
          </w:p>
        </w:tc>
        <w:tc>
          <w:tcPr>
            <w:tcW w:w="1689" w:type="dxa"/>
            <w:vAlign w:val="center"/>
          </w:tcPr>
          <w:p w14:paraId="33B6EE8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设备噪声</w:t>
            </w:r>
          </w:p>
        </w:tc>
        <w:tc>
          <w:tcPr>
            <w:tcW w:w="1518" w:type="dxa"/>
            <w:vAlign w:val="center"/>
          </w:tcPr>
          <w:p w14:paraId="05A62FF6">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54</w:t>
            </w:r>
          </w:p>
        </w:tc>
        <w:tc>
          <w:tcPr>
            <w:tcW w:w="1518" w:type="dxa"/>
            <w:vMerge w:val="continue"/>
            <w:vAlign w:val="center"/>
          </w:tcPr>
          <w:p w14:paraId="5D13584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r>
      <w:tr w14:paraId="012A9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700" w:type="dxa"/>
            <w:vAlign w:val="center"/>
          </w:tcPr>
          <w:p w14:paraId="2F6E896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厂界</w:t>
            </w:r>
            <w:r>
              <w:rPr>
                <w:rFonts w:hint="eastAsia" w:ascii="宋体" w:hAnsi="宋体" w:eastAsia="宋体" w:cs="宋体"/>
                <w:color w:val="auto"/>
                <w:sz w:val="21"/>
                <w:szCs w:val="21"/>
                <w:lang w:val="en-US" w:eastAsia="zh-CN"/>
              </w:rPr>
              <w:t>西3</w:t>
            </w:r>
            <w:r>
              <w:rPr>
                <w:rFonts w:hint="eastAsia" w:ascii="宋体" w:hAnsi="宋体" w:eastAsia="宋体" w:cs="宋体"/>
                <w:color w:val="auto"/>
                <w:sz w:val="21"/>
                <w:szCs w:val="21"/>
              </w:rPr>
              <w:t>#</w:t>
            </w:r>
          </w:p>
        </w:tc>
        <w:tc>
          <w:tcPr>
            <w:tcW w:w="1629" w:type="dxa"/>
            <w:vMerge w:val="continue"/>
            <w:vAlign w:val="center"/>
          </w:tcPr>
          <w:p w14:paraId="4EFA0A5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885" w:type="dxa"/>
            <w:vAlign w:val="center"/>
          </w:tcPr>
          <w:p w14:paraId="065D4999">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15:46-15:48</w:t>
            </w:r>
          </w:p>
        </w:tc>
        <w:tc>
          <w:tcPr>
            <w:tcW w:w="1689" w:type="dxa"/>
            <w:vAlign w:val="center"/>
          </w:tcPr>
          <w:p w14:paraId="2B33C44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设备噪声</w:t>
            </w:r>
          </w:p>
        </w:tc>
        <w:tc>
          <w:tcPr>
            <w:tcW w:w="1518" w:type="dxa"/>
            <w:vAlign w:val="center"/>
          </w:tcPr>
          <w:p w14:paraId="3468FA32">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53</w:t>
            </w:r>
          </w:p>
        </w:tc>
        <w:tc>
          <w:tcPr>
            <w:tcW w:w="1518" w:type="dxa"/>
            <w:vMerge w:val="continue"/>
            <w:vAlign w:val="center"/>
          </w:tcPr>
          <w:p w14:paraId="4D3436B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r>
      <w:tr w14:paraId="6FD48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700" w:type="dxa"/>
            <w:vAlign w:val="center"/>
          </w:tcPr>
          <w:p w14:paraId="2121E8B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厂界北</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w:t>
            </w:r>
          </w:p>
        </w:tc>
        <w:tc>
          <w:tcPr>
            <w:tcW w:w="1629" w:type="dxa"/>
            <w:vMerge w:val="continue"/>
            <w:vAlign w:val="center"/>
          </w:tcPr>
          <w:p w14:paraId="2D26085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885" w:type="dxa"/>
            <w:vAlign w:val="center"/>
          </w:tcPr>
          <w:p w14:paraId="1056E845">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15:50-15:52</w:t>
            </w:r>
          </w:p>
        </w:tc>
        <w:tc>
          <w:tcPr>
            <w:tcW w:w="1689" w:type="dxa"/>
            <w:vAlign w:val="center"/>
          </w:tcPr>
          <w:p w14:paraId="4EF279B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设备噪声</w:t>
            </w:r>
          </w:p>
        </w:tc>
        <w:tc>
          <w:tcPr>
            <w:tcW w:w="1518" w:type="dxa"/>
            <w:vAlign w:val="center"/>
          </w:tcPr>
          <w:p w14:paraId="634A8F1B">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54</w:t>
            </w:r>
          </w:p>
        </w:tc>
        <w:tc>
          <w:tcPr>
            <w:tcW w:w="1518" w:type="dxa"/>
            <w:vMerge w:val="continue"/>
            <w:vAlign w:val="center"/>
          </w:tcPr>
          <w:p w14:paraId="61869E9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p>
        </w:tc>
      </w:tr>
      <w:tr w14:paraId="5E3FE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700" w:type="dxa"/>
            <w:vAlign w:val="center"/>
          </w:tcPr>
          <w:p w14:paraId="33CBB762">
            <w:pPr>
              <w:keepNext w:val="0"/>
              <w:keepLines w:val="0"/>
              <w:pageBreakBefore w:val="0"/>
              <w:widowControl w:val="0"/>
              <w:kinsoku/>
              <w:wordWrap/>
              <w:overflowPunct/>
              <w:topLinePunct w:val="0"/>
              <w:bidi w:val="0"/>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备注</w:t>
            </w:r>
          </w:p>
        </w:tc>
        <w:tc>
          <w:tcPr>
            <w:tcW w:w="8239" w:type="dxa"/>
            <w:gridSpan w:val="5"/>
            <w:vAlign w:val="center"/>
          </w:tcPr>
          <w:p w14:paraId="69CD771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企业</w:t>
            </w:r>
            <w:r>
              <w:rPr>
                <w:rFonts w:hint="eastAsia" w:ascii="宋体" w:hAnsi="宋体" w:eastAsia="宋体" w:cs="宋体"/>
                <w:color w:val="auto"/>
                <w:sz w:val="21"/>
                <w:szCs w:val="21"/>
                <w:lang w:val="en-US" w:eastAsia="zh-CN"/>
              </w:rPr>
              <w:t>无委托检测夜间噪声</w:t>
            </w:r>
            <w:r>
              <w:rPr>
                <w:rFonts w:hint="eastAsia" w:ascii="宋体" w:hAnsi="宋体" w:eastAsia="宋体" w:cs="宋体"/>
                <w:color w:val="auto"/>
                <w:sz w:val="21"/>
                <w:szCs w:val="21"/>
              </w:rPr>
              <w:t>，只检测昼间噪声。</w:t>
            </w:r>
          </w:p>
        </w:tc>
      </w:tr>
    </w:tbl>
    <w:p w14:paraId="2BE38EB3">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default" w:ascii="宋体" w:hAnsi="宋体" w:eastAsia="宋体" w:cs="宋体"/>
          <w:b w:val="0"/>
          <w:bCs/>
          <w:kern w:val="2"/>
          <w:sz w:val="24"/>
          <w:szCs w:val="24"/>
          <w:lang w:val="en-US" w:eastAsia="zh-CN" w:bidi="ar-SA"/>
        </w:rPr>
      </w:pPr>
    </w:p>
    <w:p w14:paraId="08A7923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（6）噪声监测结果评价</w:t>
      </w:r>
    </w:p>
    <w:p w14:paraId="148D4F0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监测结果表明：4个监测点经过监测，噪声监测值均达到《工业企业厂界环境噪声排放标准》GB12348-2008中2类区标准限值要求。</w:t>
      </w:r>
    </w:p>
    <w:p w14:paraId="12537078">
      <w:pPr>
        <w:pStyle w:val="4"/>
        <w:keepNext/>
        <w:keepLines/>
        <w:pageBreakBefore w:val="0"/>
        <w:widowControl w:val="0"/>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default" w:ascii="Times New Roman" w:hAnsi="Times New Roman" w:eastAsia="宋体" w:cs="Times New Roman"/>
          <w:lang w:val="en-US" w:eastAsia="zh-CN"/>
        </w:rPr>
      </w:pPr>
      <w:bookmarkStart w:id="442" w:name="_Toc31369"/>
      <w:bookmarkStart w:id="443" w:name="_Toc9930"/>
      <w:bookmarkStart w:id="444" w:name="_Toc8080"/>
      <w:r>
        <w:rPr>
          <w:rFonts w:hint="default" w:ascii="Times New Roman" w:hAnsi="Times New Roman" w:eastAsia="宋体" w:cs="Times New Roman"/>
          <w:lang w:val="en-US" w:eastAsia="zh-CN"/>
        </w:rPr>
        <w:t>十、验收监测结论及建议</w:t>
      </w:r>
      <w:bookmarkEnd w:id="442"/>
      <w:bookmarkEnd w:id="443"/>
      <w:bookmarkEnd w:id="444"/>
    </w:p>
    <w:p w14:paraId="4FBA46E7">
      <w:pPr>
        <w:pStyle w:val="5"/>
        <w:rPr>
          <w:rFonts w:hint="default" w:ascii="Times New Roman" w:hAnsi="Times New Roman" w:eastAsia="宋体" w:cs="Times New Roman"/>
          <w:lang w:val="en-US" w:eastAsia="zh-CN"/>
        </w:rPr>
      </w:pPr>
      <w:bookmarkStart w:id="445" w:name="_Toc17112"/>
      <w:bookmarkStart w:id="446" w:name="_Toc28710"/>
      <w:r>
        <w:rPr>
          <w:rFonts w:hint="eastAsia" w:ascii="Times New Roman" w:hAnsi="Times New Roman" w:cs="Times New Roman"/>
          <w:lang w:val="en-US" w:eastAsia="zh-CN"/>
        </w:rPr>
        <w:t>10</w:t>
      </w:r>
      <w:r>
        <w:rPr>
          <w:rFonts w:hint="default" w:ascii="Times New Roman" w:hAnsi="Times New Roman" w:eastAsia="宋体" w:cs="Times New Roman"/>
          <w:lang w:val="en-US" w:eastAsia="zh-CN"/>
        </w:rPr>
        <w:t>.1验收监测结论</w:t>
      </w:r>
      <w:bookmarkEnd w:id="445"/>
      <w:bookmarkEnd w:id="446"/>
    </w:p>
    <w:p w14:paraId="3D17FE62">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val="0"/>
          <w:bCs/>
          <w:color w:val="000000"/>
          <w:sz w:val="24"/>
          <w:szCs w:val="24"/>
          <w:lang w:val="en-US" w:eastAsia="zh-CN"/>
        </w:rPr>
        <w:t>10</w:t>
      </w:r>
      <w:r>
        <w:rPr>
          <w:rFonts w:hint="default" w:ascii="Times New Roman" w:hAnsi="Times New Roman" w:eastAsia="宋体" w:cs="Times New Roman"/>
          <w:b w:val="0"/>
          <w:bCs/>
          <w:color w:val="000000"/>
          <w:sz w:val="24"/>
          <w:szCs w:val="24"/>
          <w:lang w:val="en-US" w:eastAsia="zh-CN"/>
        </w:rPr>
        <w:t>.1.1环境保护执行情况</w:t>
      </w:r>
    </w:p>
    <w:p w14:paraId="60D23C73">
      <w:pPr>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sz w:val="24"/>
          <w:szCs w:val="24"/>
          <w:lang w:val="en-US" w:eastAsia="zh-CN"/>
        </w:rPr>
        <w:t>杭州广汇包装材料有限公司</w:t>
      </w:r>
      <w:r>
        <w:rPr>
          <w:rFonts w:hint="default" w:ascii="Times New Roman" w:hAnsi="Times New Roman" w:eastAsia="宋体" w:cs="Times New Roman"/>
          <w:color w:val="000000"/>
          <w:sz w:val="24"/>
          <w:szCs w:val="24"/>
          <w:lang w:val="en-US" w:eastAsia="zh-CN"/>
        </w:rPr>
        <w:t>在项目建设中基本履行了环境影响评价制度，环境保护审批手续较为齐全。对于建设项目环境影响评价报表及批复文件中的环境保护要求已基本落实。</w:t>
      </w:r>
    </w:p>
    <w:p w14:paraId="6775A132">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val="0"/>
          <w:bCs/>
          <w:color w:val="000000"/>
          <w:sz w:val="24"/>
          <w:szCs w:val="24"/>
          <w:lang w:val="en-US" w:eastAsia="zh-CN"/>
        </w:rPr>
        <w:t>10</w:t>
      </w:r>
      <w:r>
        <w:rPr>
          <w:rFonts w:hint="default" w:ascii="Times New Roman" w:hAnsi="Times New Roman" w:eastAsia="宋体" w:cs="Times New Roman"/>
          <w:b w:val="0"/>
          <w:bCs/>
          <w:color w:val="000000"/>
          <w:sz w:val="24"/>
          <w:szCs w:val="24"/>
          <w:lang w:val="en-US" w:eastAsia="zh-CN"/>
        </w:rPr>
        <w:t>.1.2废水</w:t>
      </w:r>
    </w:p>
    <w:p w14:paraId="700C32CC">
      <w:pPr>
        <w:adjustRightInd w:val="0"/>
        <w:snapToGrid w:val="0"/>
        <w:spacing w:line="360" w:lineRule="auto"/>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企业厂区内不单独设置厕所、化粪池，员工使用村集中公共卫生间，由村委集中统一清运。</w:t>
      </w:r>
    </w:p>
    <w:p w14:paraId="493F28F7">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10</w:t>
      </w:r>
      <w:r>
        <w:rPr>
          <w:rFonts w:hint="default" w:ascii="Times New Roman" w:hAnsi="Times New Roman" w:eastAsia="宋体" w:cs="Times New Roman"/>
          <w:color w:val="000000"/>
          <w:sz w:val="24"/>
          <w:szCs w:val="24"/>
          <w:lang w:val="en-US" w:eastAsia="zh-CN"/>
        </w:rPr>
        <w:t>.1.3废气</w:t>
      </w:r>
    </w:p>
    <w:p w14:paraId="2E5E58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杭州广汇包装材料有限公司运营过程中产生的废气主要为制袋、吹膜、印刷过程中产生的有机废气（非甲烷总烃）和恶臭。经检测非甲烷总烃排放浓度、臭气浓度（无量纲）均满足《合成树脂工业污染物排放标准》(GB31572-2015)中表5和表9规定的大气污染物特别排放限值要求；厂区内VOCs无组织排放执行《挥发性有机物无组织排放控制标准》（GB37822-2019）中特别排放限值标准。臭气浓度排放执行《恶臭污染物排放标准》（GB14554-93）表 1、表 2限值。</w:t>
      </w:r>
    </w:p>
    <w:p w14:paraId="0C57BD05">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10</w:t>
      </w:r>
      <w:r>
        <w:rPr>
          <w:rFonts w:hint="default" w:ascii="Times New Roman" w:hAnsi="Times New Roman" w:eastAsia="宋体" w:cs="Times New Roman"/>
          <w:color w:val="000000"/>
          <w:sz w:val="24"/>
          <w:szCs w:val="24"/>
          <w:lang w:val="en-US" w:eastAsia="zh-CN"/>
        </w:rPr>
        <w:t>.1.</w:t>
      </w:r>
      <w:r>
        <w:rPr>
          <w:rFonts w:hint="eastAsia" w:ascii="Times New Roman" w:hAnsi="Times New Roman" w:eastAsia="宋体" w:cs="Times New Roman"/>
          <w:color w:val="000000"/>
          <w:sz w:val="24"/>
          <w:szCs w:val="24"/>
          <w:lang w:val="en-US" w:eastAsia="zh-CN"/>
        </w:rPr>
        <w:t>4噪声</w:t>
      </w:r>
    </w:p>
    <w:p w14:paraId="5091CEC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监测结果表明：4个监测点经过监测，噪声监测值均达到《工业企业厂界环境噪声排放标准》GB12348-2008中2类区标准限值要求。</w:t>
      </w:r>
    </w:p>
    <w:p w14:paraId="3C64F335">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10</w:t>
      </w:r>
      <w:r>
        <w:rPr>
          <w:rFonts w:hint="default" w:ascii="Times New Roman" w:hAnsi="Times New Roman" w:eastAsia="宋体" w:cs="Times New Roman"/>
          <w:b w:val="0"/>
          <w:bCs/>
          <w:color w:val="auto"/>
          <w:sz w:val="24"/>
          <w:szCs w:val="24"/>
          <w:lang w:val="en-US" w:eastAsia="zh-CN"/>
        </w:rPr>
        <w:t>.1.</w:t>
      </w:r>
      <w:r>
        <w:rPr>
          <w:rFonts w:hint="eastAsia" w:ascii="Times New Roman" w:hAnsi="Times New Roman" w:eastAsia="宋体" w:cs="Times New Roman"/>
          <w:b w:val="0"/>
          <w:bCs/>
          <w:color w:val="auto"/>
          <w:sz w:val="24"/>
          <w:szCs w:val="24"/>
          <w:lang w:val="en-US" w:eastAsia="zh-CN"/>
        </w:rPr>
        <w:t>5</w:t>
      </w:r>
      <w:r>
        <w:rPr>
          <w:rFonts w:hint="default" w:ascii="Times New Roman" w:hAnsi="Times New Roman" w:eastAsia="宋体" w:cs="Times New Roman"/>
          <w:b w:val="0"/>
          <w:bCs/>
          <w:color w:val="auto"/>
          <w:sz w:val="24"/>
          <w:szCs w:val="24"/>
          <w:lang w:val="en-US" w:eastAsia="zh-CN"/>
        </w:rPr>
        <w:t>固废</w:t>
      </w:r>
    </w:p>
    <w:p w14:paraId="20244E5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sz w:val="24"/>
          <w:szCs w:val="24"/>
          <w:lang w:val="en-US" w:eastAsia="zh-CN"/>
        </w:rPr>
      </w:pPr>
      <w:bookmarkStart w:id="447" w:name="_Toc30807"/>
      <w:bookmarkStart w:id="448" w:name="_Toc29297"/>
      <w:bookmarkStart w:id="449" w:name="_Toc31624"/>
      <w:bookmarkStart w:id="450" w:name="_Toc31906"/>
      <w:r>
        <w:rPr>
          <w:rFonts w:hint="eastAsia" w:ascii="Times New Roman" w:hAnsi="Times New Roman" w:eastAsia="宋体" w:cs="Times New Roman"/>
          <w:bCs/>
          <w:color w:val="auto"/>
          <w:szCs w:val="21"/>
          <w:lang w:val="en-US" w:eastAsia="zh-CN"/>
        </w:rPr>
        <w:t>生活垃圾由村委统一清运后处置；次品、边角料委托一般固废处置公司安全处置；废包装桶、废油、废擦拭布、废活性炭均属于危险固废，委托有资质单位杭州沈达环境科技有限公司安全转运处置，平时存放应按照危废管理，同时做好危废仓库的防雨、防渗漏、防扬撒“三防”措施。</w:t>
      </w:r>
    </w:p>
    <w:p w14:paraId="556B9776">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outlineLvl w:val="1"/>
        <w:rPr>
          <w:rFonts w:hint="default" w:ascii="Times New Roman" w:hAnsi="Times New Roman" w:eastAsia="宋体" w:cs="Times New Roman"/>
          <w:b w:val="0"/>
          <w:bCs/>
          <w:color w:val="000000"/>
          <w:sz w:val="24"/>
          <w:szCs w:val="24"/>
          <w:lang w:val="en-US" w:eastAsia="zh-CN"/>
        </w:rPr>
      </w:pPr>
      <w:r>
        <w:rPr>
          <w:rFonts w:hint="default" w:ascii="Times New Roman" w:hAnsi="Times New Roman" w:eastAsia="宋体" w:cs="Times New Roman"/>
          <w:b w:val="0"/>
          <w:bCs/>
          <w:color w:val="000000"/>
          <w:sz w:val="24"/>
          <w:szCs w:val="24"/>
          <w:lang w:val="en-US" w:eastAsia="zh-CN"/>
        </w:rPr>
        <w:t>10.2</w:t>
      </w:r>
      <w:r>
        <w:rPr>
          <w:rFonts w:hint="default" w:ascii="Times New Roman" w:hAnsi="Times New Roman" w:eastAsia="宋体" w:cs="Times New Roman"/>
          <w:b w:val="0"/>
          <w:bCs/>
          <w:color w:val="000000"/>
          <w:sz w:val="24"/>
          <w:szCs w:val="24"/>
          <w:lang w:val="zh-CN" w:eastAsia="zh-CN"/>
        </w:rPr>
        <w:t>建议</w:t>
      </w:r>
      <w:bookmarkEnd w:id="447"/>
      <w:bookmarkEnd w:id="448"/>
      <w:bookmarkEnd w:id="449"/>
      <w:bookmarkEnd w:id="450"/>
    </w:p>
    <w:p w14:paraId="6E933E3F">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bookmarkStart w:id="451" w:name="_Toc465241836"/>
      <w:bookmarkStart w:id="452" w:name="_Toc32240"/>
      <w:r>
        <w:rPr>
          <w:rFonts w:hint="default" w:ascii="Times New Roman" w:hAnsi="Times New Roman" w:eastAsia="宋体" w:cs="Times New Roman"/>
          <w:lang w:val="zh-CN"/>
        </w:rPr>
        <w:t>建议进一步提高环保管理水平，健全各项规章制度并严格遵照执行，同时做好以下工作：</w:t>
      </w:r>
      <w:bookmarkEnd w:id="451"/>
    </w:p>
    <w:p w14:paraId="2174D430">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bookmarkStart w:id="453" w:name="_Toc465241837"/>
      <w:r>
        <w:rPr>
          <w:rFonts w:hint="default" w:ascii="Times New Roman" w:hAnsi="Times New Roman" w:eastAsia="宋体" w:cs="Times New Roman"/>
          <w:lang w:val="zh-CN"/>
        </w:rPr>
        <w:t>（1）本着“以防为主，综合治理，以管促治”的原则，加强科学管理，切实落实企业制定的各项环保措施，以进一步减少污染的排放量；</w:t>
      </w:r>
      <w:bookmarkEnd w:id="453"/>
    </w:p>
    <w:p w14:paraId="6D3CB137">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（2）建立环保管理制度，并设专职环保管理人员；</w:t>
      </w:r>
    </w:p>
    <w:p w14:paraId="00CCB5A2">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bookmarkStart w:id="454" w:name="_Toc465241838"/>
      <w:r>
        <w:rPr>
          <w:rFonts w:hint="default" w:ascii="Times New Roman" w:hAnsi="Times New Roman" w:eastAsia="宋体" w:cs="Times New Roman"/>
          <w:lang w:val="zh-CN"/>
        </w:rPr>
        <w:t>（3）加强对固体废物的管理与处置，以防造成二次污染</w:t>
      </w:r>
      <w:bookmarkEnd w:id="454"/>
      <w:r>
        <w:rPr>
          <w:rFonts w:hint="default" w:ascii="Times New Roman" w:hAnsi="Times New Roman" w:eastAsia="宋体" w:cs="Times New Roman"/>
          <w:lang w:val="zh-CN"/>
        </w:rPr>
        <w:t>。</w:t>
      </w:r>
    </w:p>
    <w:bookmarkEnd w:id="452"/>
    <w:p w14:paraId="6779BD95">
      <w:pPr>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lang w:val="en-US" w:eastAsia="zh-CN"/>
        </w:rPr>
        <w:t>做好场区隔声措施避免产生异常使噪声对周边环境造成影响</w:t>
      </w:r>
      <w:r>
        <w:rPr>
          <w:rFonts w:hint="eastAsia" w:ascii="Times New Roman" w:hAnsi="Times New Roman" w:eastAsia="宋体" w:cs="Times New Roman"/>
          <w:color w:val="000000"/>
          <w:sz w:val="24"/>
          <w:szCs w:val="24"/>
          <w:lang w:val="en-US" w:eastAsia="zh-CN"/>
        </w:rPr>
        <w:t>，生产时关闭门窗，做好隔声降噪</w:t>
      </w:r>
      <w:r>
        <w:rPr>
          <w:rFonts w:hint="default" w:ascii="Times New Roman" w:hAnsi="Times New Roman" w:eastAsia="宋体" w:cs="Times New Roman"/>
          <w:color w:val="000000"/>
          <w:sz w:val="24"/>
          <w:szCs w:val="24"/>
          <w:lang w:val="en-US" w:eastAsia="zh-CN"/>
        </w:rPr>
        <w:t>。</w:t>
      </w:r>
    </w:p>
    <w:p w14:paraId="7490C5CA">
      <w:pPr>
        <w:pageBreakBefore w:val="0"/>
        <w:widowControl w:val="0"/>
        <w:numPr>
          <w:ilvl w:val="0"/>
          <w:numId w:val="0"/>
        </w:numPr>
        <w:tabs>
          <w:tab w:val="right" w:pos="7880"/>
        </w:tabs>
        <w:kinsoku/>
        <w:wordWrap/>
        <w:overflowPunct/>
        <w:topLinePunct w:val="0"/>
        <w:autoSpaceDE/>
        <w:autoSpaceDN/>
        <w:bidi w:val="0"/>
        <w:adjustRightInd/>
        <w:snapToGrid/>
        <w:spacing w:line="360" w:lineRule="auto"/>
        <w:ind w:right="0" w:rightChars="0" w:firstLine="420" w:firstLineChars="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color w:val="000000"/>
          <w:sz w:val="24"/>
          <w:szCs w:val="24"/>
          <w:lang w:val="en-US" w:eastAsia="zh-CN"/>
        </w:rPr>
        <w:t>（5）</w:t>
      </w:r>
      <w:r>
        <w:rPr>
          <w:rFonts w:hint="default" w:ascii="Times New Roman" w:hAnsi="Times New Roman" w:eastAsia="宋体" w:cs="Times New Roman"/>
          <w:lang w:val="en-US" w:eastAsia="zh-CN"/>
        </w:rPr>
        <w:t>加强环保治理设施的管理，保证处理设施正常运</w:t>
      </w:r>
      <w:r>
        <w:rPr>
          <w:rFonts w:hint="eastAsia" w:ascii="Times New Roman" w:hAnsi="Times New Roman" w:eastAsia="宋体" w:cs="Times New Roman"/>
          <w:lang w:val="en-US" w:eastAsia="zh-CN"/>
        </w:rPr>
        <w:t>行。</w:t>
      </w:r>
    </w:p>
    <w:p w14:paraId="3C80F33A">
      <w:pPr>
        <w:pStyle w:val="8"/>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C16CF7D">
      <w:pPr>
        <w:rPr>
          <w:rFonts w:hint="eastAsia"/>
          <w:lang w:eastAsia="zh-CN"/>
        </w:rPr>
      </w:pPr>
      <w:r>
        <w:rPr>
          <w:rFonts w:hint="eastAsia" w:ascii="Times New Roman" w:hAnsi="Times New Roman" w:eastAsia="宋体" w:cs="Times New Roman"/>
          <w:lang w:val="en-US" w:eastAsia="zh-CN"/>
        </w:rPr>
        <w:t>1、企业生产</w:t>
      </w:r>
      <w:r>
        <w:rPr>
          <w:rFonts w:hint="eastAsia"/>
          <w:lang w:eastAsia="zh-CN"/>
        </w:rPr>
        <w:t>报表</w:t>
      </w:r>
    </w:p>
    <w:p w14:paraId="7891298E">
      <w:pPr>
        <w:jc w:val="center"/>
        <w:rPr>
          <w:rFonts w:hint="default" w:ascii="宋体" w:hAnsi="宋体" w:eastAsia="宋体" w:cs="宋体"/>
          <w:b w:val="0"/>
          <w:bCs/>
        </w:rPr>
      </w:pPr>
      <w:r>
        <w:rPr>
          <w:rFonts w:hint="default" w:ascii="宋体" w:hAnsi="宋体" w:eastAsia="宋体" w:cs="宋体"/>
          <w:b w:val="0"/>
          <w:bCs/>
        </w:rPr>
        <w:t>表</w:t>
      </w:r>
      <w:r>
        <w:rPr>
          <w:rFonts w:hint="eastAsia" w:ascii="宋体" w:hAnsi="宋体" w:eastAsia="宋体" w:cs="宋体"/>
          <w:b w:val="0"/>
          <w:bCs/>
          <w:lang w:val="en-US" w:eastAsia="zh-CN"/>
        </w:rPr>
        <w:t>1</w:t>
      </w:r>
      <w:r>
        <w:rPr>
          <w:rFonts w:hint="default" w:ascii="宋体" w:hAnsi="宋体" w:eastAsia="宋体" w:cs="宋体"/>
          <w:b w:val="0"/>
          <w:bCs/>
        </w:rPr>
        <w:t>验收检测期间生产工况</w:t>
      </w:r>
    </w:p>
    <w:tbl>
      <w:tblPr>
        <w:tblStyle w:val="15"/>
        <w:tblpPr w:leftFromText="180" w:rightFromText="180" w:vertAnchor="text" w:horzAnchor="page" w:tblpXSpec="center" w:tblpY="308"/>
        <w:tblOverlap w:val="never"/>
        <w:tblW w:w="7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7"/>
        <w:gridCol w:w="1494"/>
        <w:gridCol w:w="1497"/>
        <w:gridCol w:w="1494"/>
        <w:gridCol w:w="1497"/>
      </w:tblGrid>
      <w:tr w14:paraId="59ACA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37" w:type="dxa"/>
            <w:vMerge w:val="restart"/>
            <w:vAlign w:val="center"/>
          </w:tcPr>
          <w:p w14:paraId="297237FE">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产品名称</w:t>
            </w:r>
          </w:p>
        </w:tc>
        <w:tc>
          <w:tcPr>
            <w:tcW w:w="2991" w:type="dxa"/>
            <w:gridSpan w:val="2"/>
            <w:vAlign w:val="center"/>
          </w:tcPr>
          <w:p w14:paraId="0DDB0AFC">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2025年6月30日</w:t>
            </w:r>
          </w:p>
        </w:tc>
        <w:tc>
          <w:tcPr>
            <w:tcW w:w="2991" w:type="dxa"/>
            <w:gridSpan w:val="2"/>
            <w:vAlign w:val="center"/>
          </w:tcPr>
          <w:p w14:paraId="36C8DFAC">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2025年7月1日</w:t>
            </w:r>
          </w:p>
        </w:tc>
      </w:tr>
      <w:tr w14:paraId="6EA85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337" w:type="dxa"/>
            <w:vMerge w:val="continue"/>
            <w:vAlign w:val="center"/>
          </w:tcPr>
          <w:p w14:paraId="09A579D1">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red"/>
                <w:vertAlign w:val="baseline"/>
                <w:lang w:eastAsia="zh-CN"/>
              </w:rPr>
            </w:pPr>
          </w:p>
        </w:tc>
        <w:tc>
          <w:tcPr>
            <w:tcW w:w="1494" w:type="dxa"/>
            <w:vAlign w:val="center"/>
          </w:tcPr>
          <w:p w14:paraId="76D4A81D">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实际日产量</w:t>
            </w:r>
          </w:p>
        </w:tc>
        <w:tc>
          <w:tcPr>
            <w:tcW w:w="1497" w:type="dxa"/>
            <w:vAlign w:val="center"/>
          </w:tcPr>
          <w:p w14:paraId="3442752D">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c>
          <w:tcPr>
            <w:tcW w:w="1494" w:type="dxa"/>
            <w:vAlign w:val="center"/>
          </w:tcPr>
          <w:p w14:paraId="58C090FC">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vertAlign w:val="baseline"/>
                <w:lang w:eastAsia="zh-CN"/>
              </w:rPr>
              <w:t>实际日产量</w:t>
            </w:r>
          </w:p>
        </w:tc>
        <w:tc>
          <w:tcPr>
            <w:tcW w:w="1497" w:type="dxa"/>
            <w:vAlign w:val="center"/>
          </w:tcPr>
          <w:p w14:paraId="3B382843">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r>
      <w:tr w14:paraId="093C8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337" w:type="dxa"/>
            <w:vAlign w:val="center"/>
          </w:tcPr>
          <w:p w14:paraId="5B7B7922">
            <w:pPr>
              <w:jc w:val="center"/>
              <w:rPr>
                <w:rFonts w:hint="default" w:ascii="宋体" w:hAnsi="宋体" w:eastAsia="宋体" w:cs="宋体"/>
                <w:kern w:val="2"/>
                <w:sz w:val="21"/>
                <w:szCs w:val="21"/>
                <w:lang w:val="en-US" w:eastAsia="zh-CN" w:bidi="ar-SA"/>
              </w:rPr>
            </w:pPr>
            <w:r>
              <w:rPr>
                <w:rFonts w:hint="eastAsia" w:ascii="宋体" w:hAnsi="宋体" w:eastAsia="宋体" w:cs="宋体"/>
                <w:bCs/>
                <w:color w:val="auto"/>
                <w:kern w:val="0"/>
                <w:sz w:val="21"/>
                <w:szCs w:val="21"/>
                <w:highlight w:val="none"/>
                <w:lang w:val="en-US" w:eastAsia="zh-CN" w:bidi="ar-SA"/>
              </w:rPr>
              <w:t>塑料袋</w:t>
            </w:r>
          </w:p>
        </w:tc>
        <w:tc>
          <w:tcPr>
            <w:tcW w:w="1494" w:type="dxa"/>
            <w:vAlign w:val="center"/>
          </w:tcPr>
          <w:p w14:paraId="7372CC7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9000只</w:t>
            </w:r>
          </w:p>
        </w:tc>
        <w:tc>
          <w:tcPr>
            <w:tcW w:w="1497" w:type="dxa"/>
            <w:vAlign w:val="center"/>
          </w:tcPr>
          <w:p w14:paraId="0B2BB9F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90</w:t>
            </w:r>
            <w:r>
              <w:rPr>
                <w:rFonts w:hint="default" w:ascii="宋体" w:hAnsi="宋体" w:eastAsia="宋体" w:cs="宋体"/>
                <w:bCs/>
                <w:color w:val="auto"/>
                <w:kern w:val="0"/>
                <w:sz w:val="21"/>
                <w:szCs w:val="21"/>
                <w:highlight w:val="none"/>
                <w:vertAlign w:val="baseline"/>
                <w:lang w:val="en-US" w:eastAsia="zh-CN"/>
              </w:rPr>
              <w:t>%</w:t>
            </w:r>
          </w:p>
        </w:tc>
        <w:tc>
          <w:tcPr>
            <w:tcW w:w="1494" w:type="dxa"/>
            <w:vAlign w:val="center"/>
          </w:tcPr>
          <w:p w14:paraId="004C2A3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9500只</w:t>
            </w:r>
          </w:p>
        </w:tc>
        <w:tc>
          <w:tcPr>
            <w:tcW w:w="1497" w:type="dxa"/>
            <w:vAlign w:val="center"/>
          </w:tcPr>
          <w:p w14:paraId="03AFECB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95</w:t>
            </w:r>
            <w:r>
              <w:rPr>
                <w:rFonts w:hint="default" w:ascii="宋体" w:hAnsi="宋体" w:eastAsia="宋体" w:cs="宋体"/>
                <w:bCs/>
                <w:color w:val="auto"/>
                <w:kern w:val="0"/>
                <w:sz w:val="21"/>
                <w:szCs w:val="21"/>
                <w:highlight w:val="none"/>
                <w:vertAlign w:val="baseline"/>
                <w:lang w:val="en-US" w:eastAsia="zh-CN"/>
              </w:rPr>
              <w:t>%</w:t>
            </w:r>
          </w:p>
        </w:tc>
      </w:tr>
    </w:tbl>
    <w:p w14:paraId="372CC5E1">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注：按实际年产300万只塑料袋核算，本次为阶段性验收。</w:t>
      </w:r>
    </w:p>
    <w:p w14:paraId="372F783F">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项目主要原辅材料消耗表</w:t>
      </w:r>
    </w:p>
    <w:p w14:paraId="22D66F4F">
      <w:pPr>
        <w:pStyle w:val="17"/>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主要原辅材料消耗表</w:t>
      </w:r>
    </w:p>
    <w:tbl>
      <w:tblPr>
        <w:tblStyle w:val="14"/>
        <w:tblW w:w="451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99"/>
        <w:gridCol w:w="2310"/>
        <w:gridCol w:w="1232"/>
        <w:gridCol w:w="1428"/>
        <w:gridCol w:w="1930"/>
      </w:tblGrid>
      <w:tr w14:paraId="562FCD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518" w:type="pct"/>
            <w:tcBorders>
              <w:tl2br w:val="nil"/>
              <w:tr2bl w:val="nil"/>
            </w:tcBorders>
            <w:noWrap w:val="0"/>
            <w:vAlign w:val="center"/>
          </w:tcPr>
          <w:p w14:paraId="71DF653E">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1500" w:type="pct"/>
            <w:tcBorders>
              <w:tl2br w:val="nil"/>
              <w:tr2bl w:val="nil"/>
            </w:tcBorders>
            <w:noWrap w:val="0"/>
            <w:vAlign w:val="center"/>
          </w:tcPr>
          <w:p w14:paraId="5877A82A">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原材料名称</w:t>
            </w:r>
          </w:p>
        </w:tc>
        <w:tc>
          <w:tcPr>
            <w:tcW w:w="800" w:type="pct"/>
            <w:tcBorders>
              <w:tl2br w:val="nil"/>
              <w:tr2bl w:val="nil"/>
            </w:tcBorders>
            <w:noWrap w:val="0"/>
            <w:vAlign w:val="center"/>
          </w:tcPr>
          <w:p w14:paraId="0E260D6D">
            <w:pPr>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设计用量</w:t>
            </w:r>
          </w:p>
        </w:tc>
        <w:tc>
          <w:tcPr>
            <w:tcW w:w="927" w:type="pct"/>
            <w:tcBorders>
              <w:tl2br w:val="nil"/>
              <w:tr2bl w:val="nil"/>
            </w:tcBorders>
            <w:noWrap w:val="0"/>
            <w:vAlign w:val="center"/>
          </w:tcPr>
          <w:p w14:paraId="533D13E1">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实际用量</w:t>
            </w:r>
          </w:p>
        </w:tc>
        <w:tc>
          <w:tcPr>
            <w:tcW w:w="1253" w:type="pct"/>
            <w:tcBorders>
              <w:tl2br w:val="nil"/>
              <w:tr2bl w:val="nil"/>
            </w:tcBorders>
            <w:noWrap w:val="0"/>
            <w:vAlign w:val="center"/>
          </w:tcPr>
          <w:p w14:paraId="0543D598">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变化情况</w:t>
            </w:r>
          </w:p>
        </w:tc>
      </w:tr>
      <w:tr w14:paraId="7BCFFB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518" w:type="pct"/>
            <w:tcBorders>
              <w:tl2br w:val="nil"/>
              <w:tr2bl w:val="nil"/>
            </w:tcBorders>
            <w:noWrap w:val="0"/>
            <w:vAlign w:val="center"/>
          </w:tcPr>
          <w:p w14:paraId="49CD0020">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w:t>
            </w:r>
          </w:p>
        </w:tc>
        <w:tc>
          <w:tcPr>
            <w:tcW w:w="1500" w:type="pct"/>
            <w:tcBorders>
              <w:tl2br w:val="nil"/>
              <w:tr2bl w:val="nil"/>
            </w:tcBorders>
            <w:shd w:val="clear" w:color="auto" w:fill="auto"/>
            <w:noWrap w:val="0"/>
            <w:vAlign w:val="center"/>
          </w:tcPr>
          <w:p w14:paraId="6B69C8FD">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PE、</w:t>
            </w:r>
            <w:r>
              <w:rPr>
                <w:rFonts w:hint="default" w:ascii="宋体" w:hAnsi="宋体" w:eastAsia="宋体" w:cs="宋体"/>
                <w:color w:val="000000"/>
                <w:sz w:val="21"/>
                <w:szCs w:val="21"/>
                <w:lang w:val="en-US" w:eastAsia="zh-CN"/>
              </w:rPr>
              <w:t>PP</w:t>
            </w:r>
            <w:r>
              <w:rPr>
                <w:rFonts w:hint="eastAsia" w:ascii="宋体" w:hAnsi="宋体" w:eastAsia="宋体" w:cs="宋体"/>
                <w:color w:val="000000"/>
                <w:sz w:val="21"/>
                <w:szCs w:val="21"/>
                <w:lang w:val="en-US" w:eastAsia="zh-CN"/>
              </w:rPr>
              <w:t>塑料粒子（新料）</w:t>
            </w:r>
          </w:p>
        </w:tc>
        <w:tc>
          <w:tcPr>
            <w:tcW w:w="800" w:type="pct"/>
            <w:tcBorders>
              <w:tl2br w:val="nil"/>
              <w:tr2bl w:val="nil"/>
            </w:tcBorders>
            <w:shd w:val="clear" w:color="auto" w:fill="auto"/>
            <w:noWrap w:val="0"/>
            <w:vAlign w:val="center"/>
          </w:tcPr>
          <w:p w14:paraId="231DBEB2">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w:t>
            </w:r>
            <w:r>
              <w:rPr>
                <w:rFonts w:hint="eastAsia" w:ascii="宋体" w:hAnsi="宋体" w:eastAsia="宋体" w:cs="宋体"/>
                <w:color w:val="000000"/>
                <w:sz w:val="21"/>
                <w:szCs w:val="21"/>
              </w:rPr>
              <w:t>0t/a</w:t>
            </w:r>
          </w:p>
        </w:tc>
        <w:tc>
          <w:tcPr>
            <w:tcW w:w="927" w:type="pct"/>
            <w:tcBorders>
              <w:tl2br w:val="nil"/>
              <w:tr2bl w:val="nil"/>
            </w:tcBorders>
            <w:noWrap w:val="0"/>
            <w:vAlign w:val="center"/>
          </w:tcPr>
          <w:p w14:paraId="2DD57995">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0t/a</w:t>
            </w:r>
          </w:p>
        </w:tc>
        <w:tc>
          <w:tcPr>
            <w:tcW w:w="1253" w:type="pct"/>
            <w:tcBorders>
              <w:tl2br w:val="nil"/>
              <w:tr2bl w:val="nil"/>
            </w:tcBorders>
            <w:noWrap w:val="0"/>
            <w:vAlign w:val="center"/>
          </w:tcPr>
          <w:p w14:paraId="72B5FA4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-40t/a</w:t>
            </w:r>
          </w:p>
        </w:tc>
      </w:tr>
      <w:tr w14:paraId="2D53CF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518" w:type="pct"/>
            <w:tcBorders>
              <w:tl2br w:val="nil"/>
              <w:tr2bl w:val="nil"/>
            </w:tcBorders>
            <w:noWrap w:val="0"/>
            <w:vAlign w:val="center"/>
          </w:tcPr>
          <w:p w14:paraId="15D76AF1">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p>
        </w:tc>
        <w:tc>
          <w:tcPr>
            <w:tcW w:w="1500" w:type="pct"/>
            <w:tcBorders>
              <w:tl2br w:val="nil"/>
              <w:tr2bl w:val="nil"/>
            </w:tcBorders>
            <w:shd w:val="clear" w:color="auto" w:fill="auto"/>
            <w:noWrap w:val="0"/>
            <w:vAlign w:val="center"/>
          </w:tcPr>
          <w:p w14:paraId="747A7FAD">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润滑油</w:t>
            </w:r>
          </w:p>
        </w:tc>
        <w:tc>
          <w:tcPr>
            <w:tcW w:w="800" w:type="pct"/>
            <w:tcBorders>
              <w:tl2br w:val="nil"/>
              <w:tr2bl w:val="nil"/>
            </w:tcBorders>
            <w:shd w:val="clear" w:color="auto" w:fill="auto"/>
            <w:noWrap w:val="0"/>
            <w:vAlign w:val="center"/>
          </w:tcPr>
          <w:p w14:paraId="27089E33">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0.15t</w:t>
            </w:r>
            <w:r>
              <w:rPr>
                <w:rFonts w:hint="eastAsia" w:ascii="宋体" w:hAnsi="宋体" w:eastAsia="宋体" w:cs="宋体"/>
                <w:color w:val="000000"/>
                <w:sz w:val="21"/>
                <w:szCs w:val="21"/>
              </w:rPr>
              <w:t>/a</w:t>
            </w:r>
          </w:p>
        </w:tc>
        <w:tc>
          <w:tcPr>
            <w:tcW w:w="927" w:type="pct"/>
            <w:tcBorders>
              <w:tl2br w:val="nil"/>
              <w:tr2bl w:val="nil"/>
            </w:tcBorders>
            <w:noWrap w:val="0"/>
            <w:vAlign w:val="center"/>
          </w:tcPr>
          <w:p w14:paraId="7E63110C">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0.1t</w:t>
            </w:r>
            <w:r>
              <w:rPr>
                <w:rFonts w:hint="eastAsia" w:ascii="宋体" w:hAnsi="宋体" w:eastAsia="宋体" w:cs="宋体"/>
                <w:color w:val="000000"/>
                <w:sz w:val="21"/>
                <w:szCs w:val="21"/>
              </w:rPr>
              <w:t>/a</w:t>
            </w:r>
          </w:p>
        </w:tc>
        <w:tc>
          <w:tcPr>
            <w:tcW w:w="1253" w:type="pct"/>
            <w:tcBorders>
              <w:tl2br w:val="nil"/>
              <w:tr2bl w:val="nil"/>
            </w:tcBorders>
            <w:noWrap w:val="0"/>
            <w:vAlign w:val="center"/>
          </w:tcPr>
          <w:p w14:paraId="4DC3C909">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-0.05t</w:t>
            </w:r>
            <w:r>
              <w:rPr>
                <w:rFonts w:hint="eastAsia" w:ascii="宋体" w:hAnsi="宋体" w:eastAsia="宋体" w:cs="宋体"/>
                <w:color w:val="000000"/>
                <w:sz w:val="21"/>
                <w:szCs w:val="21"/>
              </w:rPr>
              <w:t>/a</w:t>
            </w:r>
          </w:p>
        </w:tc>
      </w:tr>
      <w:tr w14:paraId="4207A3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518" w:type="pct"/>
            <w:tcBorders>
              <w:tl2br w:val="nil"/>
              <w:tr2bl w:val="nil"/>
            </w:tcBorders>
            <w:noWrap w:val="0"/>
            <w:vAlign w:val="center"/>
          </w:tcPr>
          <w:p w14:paraId="64B77064">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w:t>
            </w:r>
          </w:p>
        </w:tc>
        <w:tc>
          <w:tcPr>
            <w:tcW w:w="1500" w:type="pct"/>
            <w:tcBorders>
              <w:tl2br w:val="nil"/>
              <w:tr2bl w:val="nil"/>
            </w:tcBorders>
            <w:shd w:val="clear" w:color="auto" w:fill="auto"/>
            <w:noWrap w:val="0"/>
            <w:vAlign w:val="center"/>
          </w:tcPr>
          <w:p w14:paraId="02A9F2CB">
            <w:pPr>
              <w:jc w:val="center"/>
              <w:rPr>
                <w:rFonts w:hint="eastAsia" w:ascii="宋体" w:hAnsi="宋体" w:eastAsia="宋体" w:cs="宋体"/>
                <w:color w:val="000000"/>
                <w:sz w:val="21"/>
                <w:szCs w:val="21"/>
                <w:lang w:val="en-US" w:eastAsia="zh-CN"/>
              </w:rPr>
            </w:pPr>
            <w:r>
              <w:rPr>
                <w:rFonts w:hint="eastAsia" w:ascii="宋体" w:hAnsi="宋体" w:eastAsia="宋体" w:cs="宋体"/>
                <w:b w:val="0"/>
                <w:bCs w:val="0"/>
                <w:sz w:val="21"/>
                <w:szCs w:val="21"/>
                <w:vertAlign w:val="baseline"/>
                <w:lang w:val="en-US" w:eastAsia="zh-CN"/>
              </w:rPr>
              <w:t>水性油墨（凹版油墨）</w:t>
            </w:r>
          </w:p>
        </w:tc>
        <w:tc>
          <w:tcPr>
            <w:tcW w:w="800" w:type="pct"/>
            <w:tcBorders>
              <w:tl2br w:val="nil"/>
              <w:tr2bl w:val="nil"/>
            </w:tcBorders>
            <w:shd w:val="clear" w:color="auto" w:fill="auto"/>
            <w:noWrap w:val="0"/>
            <w:vAlign w:val="center"/>
          </w:tcPr>
          <w:p w14:paraId="7C3339E2">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1t/a</w:t>
            </w:r>
          </w:p>
        </w:tc>
        <w:tc>
          <w:tcPr>
            <w:tcW w:w="927" w:type="pct"/>
            <w:tcBorders>
              <w:tl2br w:val="nil"/>
              <w:tr2bl w:val="nil"/>
            </w:tcBorders>
            <w:shd w:val="clear" w:color="auto" w:fill="auto"/>
            <w:noWrap w:val="0"/>
            <w:vAlign w:val="center"/>
          </w:tcPr>
          <w:p w14:paraId="70409809">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0.6t/a</w:t>
            </w:r>
          </w:p>
        </w:tc>
        <w:tc>
          <w:tcPr>
            <w:tcW w:w="1253" w:type="pct"/>
            <w:tcBorders>
              <w:tl2br w:val="nil"/>
              <w:tr2bl w:val="nil"/>
            </w:tcBorders>
            <w:noWrap w:val="0"/>
            <w:vAlign w:val="center"/>
          </w:tcPr>
          <w:p w14:paraId="01D99BF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-0.4t/a</w:t>
            </w:r>
          </w:p>
        </w:tc>
      </w:tr>
    </w:tbl>
    <w:p w14:paraId="73C70B73">
      <w:pPr>
        <w:pStyle w:val="2"/>
        <w:ind w:left="0" w:leftChars="0" w:firstLine="0" w:firstLineChars="0"/>
        <w:jc w:val="left"/>
        <w:outlineLvl w:val="9"/>
        <w:rPr>
          <w:rFonts w:hint="default" w:ascii="Times New Roman" w:hAnsi="Times New Roman" w:eastAsia="宋体" w:cs="Times New Roman"/>
          <w:kern w:val="0"/>
          <w:sz w:val="24"/>
          <w:szCs w:val="24"/>
          <w:lang w:val="en-US" w:eastAsia="zh-CN" w:bidi="ar"/>
        </w:rPr>
      </w:pPr>
    </w:p>
    <w:p w14:paraId="43297A22">
      <w:pPr>
        <w:pStyle w:val="2"/>
        <w:ind w:left="0" w:leftChars="0" w:firstLine="0" w:firstLineChars="0"/>
        <w:jc w:val="left"/>
        <w:outlineLvl w:val="1"/>
        <w:rPr>
          <w:rFonts w:hint="default" w:ascii="Times New Roman" w:hAnsi="Times New Roman" w:eastAsia="宋体" w:cs="Times New Roman"/>
          <w:kern w:val="0"/>
          <w:sz w:val="24"/>
          <w:szCs w:val="24"/>
          <w:lang w:val="en-US" w:eastAsia="zh-CN" w:bidi="ar"/>
        </w:rPr>
      </w:pPr>
      <w:r>
        <w:rPr>
          <w:rFonts w:hint="eastAsia" w:ascii="Times New Roman" w:hAnsi="Times New Roman" w:eastAsia="宋体" w:cs="Times New Roman"/>
          <w:kern w:val="0"/>
          <w:sz w:val="24"/>
          <w:szCs w:val="24"/>
          <w:lang w:val="en-US" w:eastAsia="zh-CN" w:bidi="ar"/>
        </w:rPr>
        <w:t>3、</w:t>
      </w:r>
      <w:r>
        <w:rPr>
          <w:rFonts w:hint="default" w:ascii="Times New Roman" w:hAnsi="Times New Roman" w:eastAsia="宋体" w:cs="Times New Roman"/>
          <w:kern w:val="0"/>
          <w:sz w:val="24"/>
          <w:szCs w:val="24"/>
          <w:lang w:val="en-US" w:eastAsia="zh-CN" w:bidi="ar"/>
        </w:rPr>
        <w:t>建设项目生产设备</w:t>
      </w:r>
    </w:p>
    <w:p w14:paraId="67A67AE4">
      <w:pPr>
        <w:pStyle w:val="1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rPr>
        <w:t>主要设备表</w:t>
      </w:r>
    </w:p>
    <w:tbl>
      <w:tblPr>
        <w:tblStyle w:val="14"/>
        <w:tblW w:w="849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96"/>
        <w:gridCol w:w="1817"/>
        <w:gridCol w:w="1811"/>
        <w:gridCol w:w="1117"/>
        <w:gridCol w:w="1578"/>
        <w:gridCol w:w="1578"/>
      </w:tblGrid>
      <w:tr w14:paraId="282013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7" w:hRule="atLeast"/>
          <w:jc w:val="center"/>
        </w:trPr>
        <w:tc>
          <w:tcPr>
            <w:tcW w:w="596" w:type="dxa"/>
            <w:tcBorders>
              <w:tl2br w:val="nil"/>
              <w:tr2bl w:val="nil"/>
            </w:tcBorders>
            <w:noWrap w:val="0"/>
            <w:vAlign w:val="center"/>
          </w:tcPr>
          <w:p w14:paraId="4BDF104A">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序号</w:t>
            </w:r>
          </w:p>
        </w:tc>
        <w:tc>
          <w:tcPr>
            <w:tcW w:w="1817" w:type="dxa"/>
            <w:tcBorders>
              <w:tl2br w:val="nil"/>
              <w:tr2bl w:val="nil"/>
            </w:tcBorders>
            <w:noWrap w:val="0"/>
            <w:vAlign w:val="center"/>
          </w:tcPr>
          <w:p w14:paraId="0E359C5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设备名称</w:t>
            </w:r>
          </w:p>
        </w:tc>
        <w:tc>
          <w:tcPr>
            <w:tcW w:w="1811" w:type="dxa"/>
            <w:tcBorders>
              <w:tl2br w:val="nil"/>
              <w:tr2bl w:val="nil"/>
            </w:tcBorders>
            <w:shd w:val="clear" w:color="000000" w:fill="FFFFFF"/>
            <w:noWrap w:val="0"/>
            <w:vAlign w:val="center"/>
          </w:tcPr>
          <w:p w14:paraId="38CB9169">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环评审批</w:t>
            </w:r>
          </w:p>
        </w:tc>
        <w:tc>
          <w:tcPr>
            <w:tcW w:w="1117" w:type="dxa"/>
            <w:tcBorders>
              <w:tl2br w:val="nil"/>
              <w:tr2bl w:val="nil"/>
            </w:tcBorders>
            <w:shd w:val="clear" w:color="000000" w:fill="FFFFFF"/>
            <w:noWrap w:val="0"/>
            <w:vAlign w:val="center"/>
          </w:tcPr>
          <w:p w14:paraId="20DB75C1">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实际数量</w:t>
            </w:r>
          </w:p>
        </w:tc>
        <w:tc>
          <w:tcPr>
            <w:tcW w:w="1578" w:type="dxa"/>
            <w:tcBorders>
              <w:tl2br w:val="nil"/>
              <w:tr2bl w:val="nil"/>
            </w:tcBorders>
            <w:shd w:val="clear" w:color="000000" w:fill="FFFFFF"/>
            <w:noWrap w:val="0"/>
            <w:vAlign w:val="center"/>
          </w:tcPr>
          <w:p w14:paraId="7D39C56F">
            <w:pPr>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lang w:val="en-US" w:eastAsia="zh-CN"/>
              </w:rPr>
              <w:t>变化情况</w:t>
            </w:r>
          </w:p>
        </w:tc>
        <w:tc>
          <w:tcPr>
            <w:tcW w:w="1578" w:type="dxa"/>
            <w:tcBorders>
              <w:tl2br w:val="nil"/>
              <w:tr2bl w:val="nil"/>
            </w:tcBorders>
            <w:shd w:val="clear" w:color="000000" w:fill="FFFFFF"/>
            <w:noWrap w:val="0"/>
            <w:vAlign w:val="center"/>
          </w:tcPr>
          <w:p w14:paraId="49DD137D">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备注</w:t>
            </w:r>
          </w:p>
        </w:tc>
      </w:tr>
      <w:tr w14:paraId="67F613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noWrap w:val="0"/>
            <w:vAlign w:val="center"/>
          </w:tcPr>
          <w:p w14:paraId="6AA3C043">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1</w:t>
            </w:r>
          </w:p>
        </w:tc>
        <w:tc>
          <w:tcPr>
            <w:tcW w:w="1817" w:type="dxa"/>
            <w:tcBorders>
              <w:tl2br w:val="nil"/>
              <w:tr2bl w:val="nil"/>
            </w:tcBorders>
            <w:shd w:val="clear" w:color="000000" w:fill="FFFFFF"/>
            <w:noWrap w:val="0"/>
            <w:vAlign w:val="center"/>
          </w:tcPr>
          <w:p w14:paraId="740E5D8A">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吹膜机</w:t>
            </w:r>
          </w:p>
        </w:tc>
        <w:tc>
          <w:tcPr>
            <w:tcW w:w="1811" w:type="dxa"/>
            <w:tcBorders>
              <w:tl2br w:val="nil"/>
              <w:tr2bl w:val="nil"/>
            </w:tcBorders>
            <w:noWrap w:val="0"/>
            <w:vAlign w:val="center"/>
          </w:tcPr>
          <w:p w14:paraId="4D749E33">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6台</w:t>
            </w:r>
          </w:p>
        </w:tc>
        <w:tc>
          <w:tcPr>
            <w:tcW w:w="1117" w:type="dxa"/>
            <w:tcBorders>
              <w:tl2br w:val="nil"/>
              <w:tr2bl w:val="nil"/>
            </w:tcBorders>
            <w:noWrap w:val="0"/>
            <w:vAlign w:val="center"/>
          </w:tcPr>
          <w:p w14:paraId="35AF92D6">
            <w:pPr>
              <w:tabs>
                <w:tab w:val="left" w:pos="195"/>
              </w:tabs>
              <w:spacing w:line="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w:t>
            </w:r>
            <w:r>
              <w:rPr>
                <w:rFonts w:hint="eastAsia" w:ascii="宋体" w:hAnsi="宋体" w:eastAsia="宋体" w:cs="宋体"/>
                <w:kern w:val="2"/>
                <w:sz w:val="21"/>
                <w:szCs w:val="21"/>
                <w:lang w:val="en-US" w:eastAsia="zh-CN" w:bidi="ar-SA"/>
              </w:rPr>
              <w:t>台</w:t>
            </w:r>
          </w:p>
        </w:tc>
        <w:tc>
          <w:tcPr>
            <w:tcW w:w="1578" w:type="dxa"/>
            <w:tcBorders>
              <w:tl2br w:val="nil"/>
              <w:tr2bl w:val="nil"/>
            </w:tcBorders>
            <w:noWrap w:val="0"/>
            <w:vAlign w:val="center"/>
          </w:tcPr>
          <w:p w14:paraId="367E8D65">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-3台</w:t>
            </w:r>
          </w:p>
        </w:tc>
        <w:tc>
          <w:tcPr>
            <w:tcW w:w="1578" w:type="dxa"/>
            <w:vMerge w:val="restart"/>
            <w:tcBorders>
              <w:tl2br w:val="nil"/>
              <w:tr2bl w:val="nil"/>
            </w:tcBorders>
            <w:noWrap w:val="0"/>
            <w:vAlign w:val="center"/>
          </w:tcPr>
          <w:p w14:paraId="00CDA655">
            <w:pPr>
              <w:tabs>
                <w:tab w:val="left" w:pos="195"/>
              </w:tabs>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阶段性验收</w:t>
            </w:r>
          </w:p>
        </w:tc>
      </w:tr>
      <w:tr w14:paraId="452D4D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noWrap w:val="0"/>
            <w:vAlign w:val="center"/>
          </w:tcPr>
          <w:p w14:paraId="299932E0">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2</w:t>
            </w:r>
          </w:p>
        </w:tc>
        <w:tc>
          <w:tcPr>
            <w:tcW w:w="1817" w:type="dxa"/>
            <w:tcBorders>
              <w:tl2br w:val="nil"/>
              <w:tr2bl w:val="nil"/>
            </w:tcBorders>
            <w:shd w:val="clear" w:color="000000" w:fill="FFFFFF"/>
            <w:noWrap w:val="0"/>
            <w:vAlign w:val="center"/>
          </w:tcPr>
          <w:p w14:paraId="7B091EC5">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制袋机</w:t>
            </w:r>
          </w:p>
        </w:tc>
        <w:tc>
          <w:tcPr>
            <w:tcW w:w="1811" w:type="dxa"/>
            <w:tcBorders>
              <w:tl2br w:val="nil"/>
              <w:tr2bl w:val="nil"/>
            </w:tcBorders>
            <w:noWrap w:val="0"/>
            <w:vAlign w:val="center"/>
          </w:tcPr>
          <w:p w14:paraId="5BF88889">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10台</w:t>
            </w:r>
          </w:p>
        </w:tc>
        <w:tc>
          <w:tcPr>
            <w:tcW w:w="1117" w:type="dxa"/>
            <w:tcBorders>
              <w:tl2br w:val="nil"/>
              <w:tr2bl w:val="nil"/>
            </w:tcBorders>
            <w:noWrap w:val="0"/>
            <w:vAlign w:val="center"/>
          </w:tcPr>
          <w:p w14:paraId="6DF75C45">
            <w:pPr>
              <w:jc w:val="center"/>
              <w:rPr>
                <w:rFonts w:hint="eastAsia" w:ascii="宋体" w:hAnsi="宋体" w:eastAsia="宋体" w:cs="宋体"/>
                <w:sz w:val="21"/>
                <w:szCs w:val="21"/>
                <w:lang w:eastAsia="zh-CN"/>
              </w:rPr>
            </w:pPr>
            <w:r>
              <w:rPr>
                <w:rFonts w:hint="eastAsia" w:ascii="宋体" w:hAnsi="宋体" w:eastAsia="宋体" w:cs="宋体"/>
                <w:kern w:val="2"/>
                <w:sz w:val="21"/>
                <w:szCs w:val="21"/>
                <w:lang w:val="en-US" w:eastAsia="zh-CN" w:bidi="ar-SA"/>
              </w:rPr>
              <w:t>10台</w:t>
            </w:r>
          </w:p>
        </w:tc>
        <w:tc>
          <w:tcPr>
            <w:tcW w:w="1578" w:type="dxa"/>
            <w:tcBorders>
              <w:tl2br w:val="nil"/>
              <w:tr2bl w:val="nil"/>
            </w:tcBorders>
            <w:noWrap w:val="0"/>
            <w:vAlign w:val="center"/>
          </w:tcPr>
          <w:p w14:paraId="3B3E7098">
            <w:pPr>
              <w:jc w:val="center"/>
              <w:rPr>
                <w:rFonts w:hint="eastAsia" w:ascii="宋体" w:hAnsi="宋体" w:eastAsia="宋体" w:cs="宋体"/>
                <w:sz w:val="21"/>
                <w:szCs w:val="21"/>
                <w:lang w:eastAsia="zh-CN"/>
              </w:rPr>
            </w:pPr>
            <w:r>
              <w:rPr>
                <w:rFonts w:hint="eastAsia" w:ascii="宋体" w:hAnsi="宋体" w:eastAsia="宋体" w:cs="宋体"/>
                <w:kern w:val="2"/>
                <w:sz w:val="21"/>
                <w:szCs w:val="21"/>
                <w:lang w:val="en-US" w:eastAsia="zh-CN" w:bidi="ar-SA"/>
              </w:rPr>
              <w:t>0</w:t>
            </w:r>
          </w:p>
        </w:tc>
        <w:tc>
          <w:tcPr>
            <w:tcW w:w="1578" w:type="dxa"/>
            <w:vMerge w:val="continue"/>
            <w:tcBorders>
              <w:tl2br w:val="nil"/>
              <w:tr2bl w:val="nil"/>
            </w:tcBorders>
            <w:noWrap w:val="0"/>
            <w:vAlign w:val="center"/>
          </w:tcPr>
          <w:p w14:paraId="71D0E7EC">
            <w:pPr>
              <w:tabs>
                <w:tab w:val="left" w:pos="195"/>
              </w:tabs>
              <w:spacing w:line="0" w:lineRule="atLeast"/>
              <w:jc w:val="center"/>
              <w:rPr>
                <w:rFonts w:hint="eastAsia" w:ascii="宋体" w:hAnsi="宋体" w:eastAsia="宋体" w:cs="宋体"/>
                <w:sz w:val="21"/>
                <w:szCs w:val="21"/>
              </w:rPr>
            </w:pPr>
          </w:p>
        </w:tc>
      </w:tr>
      <w:tr w14:paraId="4CDBF1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noWrap w:val="0"/>
            <w:vAlign w:val="center"/>
          </w:tcPr>
          <w:p w14:paraId="16CC73D7">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3</w:t>
            </w:r>
          </w:p>
        </w:tc>
        <w:tc>
          <w:tcPr>
            <w:tcW w:w="1817" w:type="dxa"/>
            <w:tcBorders>
              <w:tl2br w:val="nil"/>
              <w:tr2bl w:val="nil"/>
            </w:tcBorders>
            <w:shd w:val="clear" w:color="000000" w:fill="FFFFFF"/>
            <w:noWrap w:val="0"/>
            <w:vAlign w:val="center"/>
          </w:tcPr>
          <w:p w14:paraId="0D2FC9E4">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四色印刷机</w:t>
            </w:r>
          </w:p>
        </w:tc>
        <w:tc>
          <w:tcPr>
            <w:tcW w:w="1811" w:type="dxa"/>
            <w:tcBorders>
              <w:tl2br w:val="nil"/>
              <w:tr2bl w:val="nil"/>
            </w:tcBorders>
            <w:noWrap w:val="0"/>
            <w:vAlign w:val="center"/>
          </w:tcPr>
          <w:p w14:paraId="09887986">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2台</w:t>
            </w:r>
          </w:p>
        </w:tc>
        <w:tc>
          <w:tcPr>
            <w:tcW w:w="1117" w:type="dxa"/>
            <w:tcBorders>
              <w:tl2br w:val="nil"/>
              <w:tr2bl w:val="nil"/>
            </w:tcBorders>
            <w:noWrap w:val="0"/>
            <w:vAlign w:val="center"/>
          </w:tcPr>
          <w:p w14:paraId="067B9EBA">
            <w:pPr>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SA"/>
              </w:rPr>
              <w:t>2台</w:t>
            </w:r>
          </w:p>
        </w:tc>
        <w:tc>
          <w:tcPr>
            <w:tcW w:w="1578" w:type="dxa"/>
            <w:tcBorders>
              <w:tl2br w:val="nil"/>
              <w:tr2bl w:val="nil"/>
            </w:tcBorders>
            <w:noWrap w:val="0"/>
            <w:vAlign w:val="center"/>
          </w:tcPr>
          <w:p w14:paraId="31CB06E3">
            <w:pPr>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SA"/>
              </w:rPr>
              <w:t>0</w:t>
            </w:r>
          </w:p>
        </w:tc>
        <w:tc>
          <w:tcPr>
            <w:tcW w:w="1578" w:type="dxa"/>
            <w:vMerge w:val="continue"/>
            <w:tcBorders>
              <w:tl2br w:val="nil"/>
              <w:tr2bl w:val="nil"/>
            </w:tcBorders>
            <w:noWrap w:val="0"/>
            <w:vAlign w:val="center"/>
          </w:tcPr>
          <w:p w14:paraId="4A75CAA5">
            <w:pPr>
              <w:tabs>
                <w:tab w:val="left" w:pos="195"/>
              </w:tabs>
              <w:spacing w:line="0" w:lineRule="atLeast"/>
              <w:jc w:val="center"/>
              <w:rPr>
                <w:rFonts w:hint="eastAsia" w:ascii="宋体" w:hAnsi="宋体" w:eastAsia="宋体" w:cs="宋体"/>
                <w:sz w:val="21"/>
                <w:szCs w:val="21"/>
              </w:rPr>
            </w:pPr>
          </w:p>
        </w:tc>
      </w:tr>
      <w:tr w14:paraId="0C72B5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0" w:hRule="atLeast"/>
          <w:jc w:val="center"/>
        </w:trPr>
        <w:tc>
          <w:tcPr>
            <w:tcW w:w="596" w:type="dxa"/>
            <w:tcBorders>
              <w:tl2br w:val="nil"/>
              <w:tr2bl w:val="nil"/>
            </w:tcBorders>
            <w:noWrap w:val="0"/>
            <w:vAlign w:val="center"/>
          </w:tcPr>
          <w:p w14:paraId="3BD11C38">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4</w:t>
            </w:r>
          </w:p>
        </w:tc>
        <w:tc>
          <w:tcPr>
            <w:tcW w:w="1817" w:type="dxa"/>
            <w:tcBorders>
              <w:tl2br w:val="nil"/>
              <w:tr2bl w:val="nil"/>
            </w:tcBorders>
            <w:shd w:val="clear" w:color="000000" w:fill="FFFFFF"/>
            <w:noWrap w:val="0"/>
            <w:vAlign w:val="center"/>
          </w:tcPr>
          <w:p w14:paraId="1AED98C4">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六色印刷机</w:t>
            </w:r>
          </w:p>
        </w:tc>
        <w:tc>
          <w:tcPr>
            <w:tcW w:w="1811" w:type="dxa"/>
            <w:tcBorders>
              <w:tl2br w:val="nil"/>
              <w:tr2bl w:val="nil"/>
            </w:tcBorders>
            <w:noWrap w:val="0"/>
            <w:vAlign w:val="center"/>
          </w:tcPr>
          <w:p w14:paraId="0C1BA161">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1台</w:t>
            </w:r>
          </w:p>
        </w:tc>
        <w:tc>
          <w:tcPr>
            <w:tcW w:w="1117" w:type="dxa"/>
            <w:tcBorders>
              <w:tl2br w:val="nil"/>
              <w:tr2bl w:val="nil"/>
            </w:tcBorders>
            <w:noWrap w:val="0"/>
            <w:vAlign w:val="center"/>
          </w:tcPr>
          <w:p w14:paraId="11E4C5C8">
            <w:pPr>
              <w:jc w:val="center"/>
              <w:rPr>
                <w:rFonts w:hint="eastAsia" w:ascii="宋体" w:hAnsi="宋体" w:eastAsia="宋体" w:cs="宋体"/>
                <w:sz w:val="21"/>
                <w:szCs w:val="21"/>
                <w:lang w:eastAsia="zh-CN"/>
              </w:rPr>
            </w:pPr>
            <w:r>
              <w:rPr>
                <w:rFonts w:hint="eastAsia" w:ascii="宋体" w:hAnsi="宋体" w:eastAsia="宋体" w:cs="宋体"/>
                <w:kern w:val="2"/>
                <w:sz w:val="21"/>
                <w:szCs w:val="21"/>
                <w:lang w:val="en-US" w:eastAsia="zh-CN" w:bidi="ar-SA"/>
              </w:rPr>
              <w:t>1台</w:t>
            </w:r>
          </w:p>
        </w:tc>
        <w:tc>
          <w:tcPr>
            <w:tcW w:w="1578" w:type="dxa"/>
            <w:tcBorders>
              <w:tl2br w:val="nil"/>
              <w:tr2bl w:val="nil"/>
            </w:tcBorders>
            <w:noWrap w:val="0"/>
            <w:vAlign w:val="center"/>
          </w:tcPr>
          <w:p w14:paraId="514BF47B">
            <w:pPr>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SA"/>
              </w:rPr>
              <w:t>0</w:t>
            </w:r>
          </w:p>
        </w:tc>
        <w:tc>
          <w:tcPr>
            <w:tcW w:w="1578" w:type="dxa"/>
            <w:vMerge w:val="continue"/>
            <w:tcBorders>
              <w:tl2br w:val="nil"/>
              <w:tr2bl w:val="nil"/>
            </w:tcBorders>
            <w:noWrap w:val="0"/>
            <w:vAlign w:val="center"/>
          </w:tcPr>
          <w:p w14:paraId="186DE467">
            <w:pPr>
              <w:tabs>
                <w:tab w:val="left" w:pos="195"/>
              </w:tabs>
              <w:spacing w:line="0" w:lineRule="atLeast"/>
              <w:jc w:val="center"/>
              <w:rPr>
                <w:rFonts w:hint="eastAsia" w:ascii="宋体" w:hAnsi="宋体" w:eastAsia="宋体" w:cs="宋体"/>
                <w:sz w:val="21"/>
                <w:szCs w:val="21"/>
              </w:rPr>
            </w:pPr>
          </w:p>
        </w:tc>
      </w:tr>
      <w:tr w14:paraId="7BCB2A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noWrap w:val="0"/>
            <w:vAlign w:val="center"/>
          </w:tcPr>
          <w:p w14:paraId="2B90C3EB">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5</w:t>
            </w:r>
          </w:p>
        </w:tc>
        <w:tc>
          <w:tcPr>
            <w:tcW w:w="1817" w:type="dxa"/>
            <w:tcBorders>
              <w:tl2br w:val="nil"/>
              <w:tr2bl w:val="nil"/>
            </w:tcBorders>
            <w:shd w:val="clear" w:color="000000" w:fill="FFFFFF"/>
            <w:noWrap w:val="0"/>
            <w:vAlign w:val="center"/>
          </w:tcPr>
          <w:p w14:paraId="35F660D8">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九色印刷机</w:t>
            </w:r>
          </w:p>
        </w:tc>
        <w:tc>
          <w:tcPr>
            <w:tcW w:w="1811" w:type="dxa"/>
            <w:tcBorders>
              <w:tl2br w:val="nil"/>
              <w:tr2bl w:val="nil"/>
            </w:tcBorders>
            <w:noWrap w:val="0"/>
            <w:vAlign w:val="center"/>
          </w:tcPr>
          <w:p w14:paraId="4E8BA67C">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1台</w:t>
            </w:r>
          </w:p>
        </w:tc>
        <w:tc>
          <w:tcPr>
            <w:tcW w:w="1117" w:type="dxa"/>
            <w:tcBorders>
              <w:tl2br w:val="nil"/>
              <w:tr2bl w:val="nil"/>
            </w:tcBorders>
            <w:noWrap w:val="0"/>
            <w:vAlign w:val="center"/>
          </w:tcPr>
          <w:p w14:paraId="0010A1EF">
            <w:pPr>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SA"/>
              </w:rPr>
              <w:t>1台</w:t>
            </w:r>
          </w:p>
        </w:tc>
        <w:tc>
          <w:tcPr>
            <w:tcW w:w="1578" w:type="dxa"/>
            <w:tcBorders>
              <w:tl2br w:val="nil"/>
              <w:tr2bl w:val="nil"/>
            </w:tcBorders>
            <w:noWrap w:val="0"/>
            <w:vAlign w:val="center"/>
          </w:tcPr>
          <w:p w14:paraId="0AAC0A6F">
            <w:pPr>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SA"/>
              </w:rPr>
              <w:t>0</w:t>
            </w:r>
          </w:p>
        </w:tc>
        <w:tc>
          <w:tcPr>
            <w:tcW w:w="1578" w:type="dxa"/>
            <w:vMerge w:val="continue"/>
            <w:tcBorders>
              <w:tl2br w:val="nil"/>
              <w:tr2bl w:val="nil"/>
            </w:tcBorders>
            <w:noWrap w:val="0"/>
            <w:vAlign w:val="center"/>
          </w:tcPr>
          <w:p w14:paraId="013F717D">
            <w:pPr>
              <w:tabs>
                <w:tab w:val="left" w:pos="195"/>
              </w:tabs>
              <w:spacing w:line="0" w:lineRule="atLeast"/>
              <w:jc w:val="center"/>
              <w:rPr>
                <w:rFonts w:hint="eastAsia" w:ascii="宋体" w:hAnsi="宋体" w:eastAsia="宋体" w:cs="宋体"/>
                <w:sz w:val="21"/>
                <w:szCs w:val="21"/>
              </w:rPr>
            </w:pPr>
          </w:p>
        </w:tc>
      </w:tr>
    </w:tbl>
    <w:p w14:paraId="38732502">
      <w:pPr>
        <w:rPr>
          <w:rFonts w:hint="eastAsia" w:hAnsi="宋体"/>
          <w:sz w:val="24"/>
          <w:lang w:eastAsia="zh-CN"/>
        </w:rPr>
      </w:pPr>
    </w:p>
    <w:p w14:paraId="014BF085">
      <w:pPr>
        <w:rPr>
          <w:rFonts w:hint="eastAsia" w:hAnsi="宋体"/>
          <w:sz w:val="24"/>
          <w:lang w:eastAsia="zh-CN"/>
        </w:rPr>
      </w:pPr>
    </w:p>
    <w:p w14:paraId="02D62A79">
      <w:pPr>
        <w:rPr>
          <w:rFonts w:hint="eastAsia" w:hAnsi="宋体"/>
          <w:sz w:val="24"/>
          <w:lang w:eastAsia="zh-CN"/>
        </w:rPr>
      </w:pPr>
    </w:p>
    <w:p w14:paraId="0DAF4F81">
      <w:pPr>
        <w:rPr>
          <w:rFonts w:hint="eastAsia" w:hAnsi="宋体"/>
          <w:sz w:val="24"/>
          <w:lang w:eastAsia="zh-CN"/>
        </w:rPr>
      </w:pPr>
    </w:p>
    <w:p w14:paraId="15153A57">
      <w:pPr>
        <w:rPr>
          <w:rFonts w:hint="eastAsia" w:hAnsi="宋体"/>
          <w:sz w:val="24"/>
          <w:lang w:eastAsia="zh-CN"/>
        </w:rPr>
      </w:pPr>
    </w:p>
    <w:p w14:paraId="2832009A">
      <w:pPr>
        <w:rPr>
          <w:rFonts w:hint="eastAsia" w:hAnsi="宋体"/>
          <w:sz w:val="24"/>
          <w:lang w:eastAsia="zh-CN"/>
        </w:rPr>
      </w:pPr>
    </w:p>
    <w:p w14:paraId="734CCDC2">
      <w:pPr>
        <w:rPr>
          <w:rFonts w:hint="eastAsia" w:hAnsi="宋体"/>
          <w:sz w:val="24"/>
          <w:lang w:eastAsia="zh-CN"/>
        </w:rPr>
      </w:pPr>
    </w:p>
    <w:p w14:paraId="1678F249">
      <w:pPr>
        <w:rPr>
          <w:rFonts w:hint="eastAsia" w:hAnsi="宋体"/>
          <w:sz w:val="24"/>
          <w:lang w:eastAsia="zh-CN"/>
        </w:rPr>
      </w:pPr>
    </w:p>
    <w:p w14:paraId="2CEDA396">
      <w:pPr>
        <w:rPr>
          <w:rFonts w:hint="eastAsia" w:hAnsi="宋体"/>
          <w:sz w:val="24"/>
          <w:lang w:eastAsia="zh-CN"/>
        </w:rPr>
      </w:pPr>
    </w:p>
    <w:p w14:paraId="4E1BBC4D">
      <w:pPr>
        <w:ind w:firstLine="480" w:firstLineChars="200"/>
        <w:rPr>
          <w:rFonts w:hint="eastAsia" w:hAnsi="宋体"/>
          <w:sz w:val="24"/>
          <w:lang w:val="en-US" w:eastAsia="zh-CN"/>
        </w:rPr>
      </w:pPr>
      <w:r>
        <w:rPr>
          <w:rFonts w:hint="eastAsia" w:hAnsi="宋体"/>
          <w:sz w:val="24"/>
          <w:lang w:eastAsia="zh-CN"/>
        </w:rPr>
        <w:t>我公司承诺以上数据真实、有效。如有瞒报、谎报愿承担一切责任</w:t>
      </w:r>
      <w:r>
        <w:rPr>
          <w:rFonts w:hint="eastAsia" w:hAnsi="宋体"/>
          <w:sz w:val="24"/>
          <w:lang w:val="en-US" w:eastAsia="zh-CN"/>
        </w:rPr>
        <w:t>。</w:t>
      </w:r>
    </w:p>
    <w:p w14:paraId="36A067A1">
      <w:pPr>
        <w:pStyle w:val="8"/>
        <w:rPr>
          <w:rFonts w:hint="eastAsia"/>
          <w:lang w:eastAsia="zh-CN"/>
        </w:rPr>
      </w:pPr>
    </w:p>
    <w:p w14:paraId="6829E38C">
      <w:pPr>
        <w:ind w:firstLine="1680" w:firstLineChars="700"/>
        <w:jc w:val="left"/>
        <w:rPr>
          <w:rFonts w:hint="eastAsia" w:hAnsi="宋体"/>
          <w:sz w:val="24"/>
          <w:lang w:val="en-US" w:eastAsia="zh-CN"/>
        </w:rPr>
      </w:pPr>
      <w:r>
        <w:rPr>
          <w:rFonts w:hint="eastAsia" w:hAnsi="宋体"/>
          <w:sz w:val="24"/>
          <w:lang w:val="en-US" w:eastAsia="zh-CN"/>
        </w:rPr>
        <w:t xml:space="preserve">                                 单位盖章</w:t>
      </w:r>
    </w:p>
    <w:p w14:paraId="14DB63F1">
      <w:pPr>
        <w:pStyle w:val="8"/>
        <w:jc w:val="right"/>
        <w:rPr>
          <w:rFonts w:hint="eastAsia" w:hAnsi="宋体"/>
          <w:sz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hAnsi="宋体"/>
          <w:sz w:val="24"/>
          <w:lang w:val="en-US" w:eastAsia="zh-CN"/>
        </w:rPr>
        <w:t>年   月  日</w:t>
      </w:r>
    </w:p>
    <w:p w14:paraId="5D2C05C7">
      <w:pPr>
        <w:pStyle w:val="4"/>
        <w:keepNext/>
        <w:keepLines/>
        <w:pageBreakBefore w:val="0"/>
        <w:widowControl w:val="0"/>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eastAsia" w:ascii="Times New Roman" w:hAnsi="Times New Roman" w:eastAsia="宋体" w:cs="Times New Roman"/>
          <w:szCs w:val="22"/>
          <w:lang w:val="en-US" w:eastAsia="zh-CN"/>
        </w:rPr>
      </w:pPr>
      <w:bookmarkStart w:id="455" w:name="_Toc1330"/>
      <w:r>
        <w:rPr>
          <w:rFonts w:hint="eastAsia" w:ascii="Times New Roman" w:hAnsi="Times New Roman" w:eastAsia="宋体" w:cs="Times New Roman"/>
          <w:szCs w:val="22"/>
          <w:lang w:val="en-US" w:eastAsia="zh-CN"/>
        </w:rPr>
        <w:t>11、建设项目环境保护“三同时”竣工验收登记</w:t>
      </w:r>
      <w:bookmarkEnd w:id="455"/>
    </w:p>
    <w:p w14:paraId="5D355BE5">
      <w:pPr>
        <w:spacing w:after="0" w:line="240" w:lineRule="auto"/>
        <w:jc w:val="center"/>
        <w:outlineLvl w:val="0"/>
        <w:rPr>
          <w:rFonts w:eastAsia="黑体"/>
          <w:b/>
          <w:sz w:val="21"/>
          <w:szCs w:val="21"/>
        </w:rPr>
      </w:pPr>
      <w:bookmarkStart w:id="456" w:name="_Toc61"/>
      <w:bookmarkStart w:id="457" w:name="_Toc26939_WPSOffice_Level1"/>
      <w:bookmarkStart w:id="458" w:name="_Toc10845_WPSOffice_Level1"/>
      <w:bookmarkStart w:id="459" w:name="_Toc7170"/>
      <w:bookmarkStart w:id="460" w:name="_Toc28932_WPSOffice_Level1"/>
      <w:bookmarkStart w:id="461" w:name="_Toc7029_WPSOffice_Level1"/>
      <w:bookmarkStart w:id="462" w:name="_Toc12000_WPSOffice_Level1"/>
      <w:bookmarkStart w:id="463" w:name="_Toc29638_WPSOffice_Level1"/>
      <w:r>
        <w:rPr>
          <w:rFonts w:eastAsia="黑体"/>
          <w:b/>
          <w:sz w:val="21"/>
          <w:szCs w:val="21"/>
        </w:rPr>
        <w:t>建设项目工程竣工环境保护“三同时”验收登记表</w:t>
      </w:r>
      <w:bookmarkEnd w:id="456"/>
      <w:bookmarkEnd w:id="457"/>
      <w:bookmarkEnd w:id="458"/>
      <w:bookmarkEnd w:id="459"/>
      <w:bookmarkEnd w:id="460"/>
      <w:bookmarkEnd w:id="461"/>
      <w:bookmarkEnd w:id="462"/>
      <w:bookmarkEnd w:id="463"/>
    </w:p>
    <w:p w14:paraId="5A58D512">
      <w:pPr>
        <w:spacing w:after="0" w:line="240" w:lineRule="auto"/>
        <w:rPr>
          <w:rFonts w:ascii="宋体" w:hAnsi="宋体" w:eastAsia="宋体"/>
          <w:b/>
          <w:sz w:val="21"/>
          <w:szCs w:val="21"/>
        </w:rPr>
      </w:pPr>
      <w:bookmarkStart w:id="464" w:name="_Toc25189_WPSOffice_Level2"/>
      <w:bookmarkStart w:id="465" w:name="_Toc12172_WPSOffice_Level1"/>
      <w:bookmarkStart w:id="466" w:name="_Toc12563_WPSOffice_Level1"/>
      <w:bookmarkStart w:id="467" w:name="_Toc20790_WPSOffice_Level1"/>
      <w:bookmarkStart w:id="468" w:name="_Toc16376_WPSOffice_Level1"/>
      <w:bookmarkStart w:id="469" w:name="_Toc11047_WPSOffice_Level2"/>
      <w:bookmarkStart w:id="470" w:name="_Toc25960_WPSOffice_Level2"/>
      <w:r>
        <w:rPr>
          <w:rFonts w:ascii="宋体" w:hAnsi="宋体" w:eastAsia="宋体"/>
          <w:b/>
          <w:sz w:val="21"/>
          <w:szCs w:val="21"/>
        </w:rPr>
        <w:t>填表单位（盖章）</w:t>
      </w:r>
      <w:r>
        <w:rPr>
          <w:rFonts w:ascii="宋体" w:hAnsi="宋体" w:eastAsia="宋体"/>
          <w:b/>
          <w:kern w:val="2"/>
          <w:sz w:val="21"/>
          <w:szCs w:val="21"/>
        </w:rPr>
        <w:t>：</w:t>
      </w:r>
      <w:r>
        <w:rPr>
          <w:rFonts w:ascii="宋体" w:hAnsi="宋体" w:eastAsia="宋体"/>
          <w:b/>
          <w:sz w:val="21"/>
          <w:szCs w:val="21"/>
        </w:rPr>
        <w:t xml:space="preserve">                  填表人（签字）：                              项目经办人（签字）：</w:t>
      </w:r>
      <w:bookmarkEnd w:id="464"/>
      <w:bookmarkEnd w:id="465"/>
      <w:bookmarkEnd w:id="466"/>
      <w:bookmarkEnd w:id="467"/>
      <w:bookmarkEnd w:id="468"/>
      <w:bookmarkEnd w:id="469"/>
      <w:bookmarkEnd w:id="470"/>
    </w:p>
    <w:tbl>
      <w:tblPr>
        <w:tblStyle w:val="14"/>
        <w:tblW w:w="163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74"/>
        <w:gridCol w:w="1129"/>
        <w:gridCol w:w="715"/>
        <w:gridCol w:w="850"/>
        <w:gridCol w:w="1418"/>
        <w:gridCol w:w="1127"/>
        <w:gridCol w:w="1008"/>
        <w:gridCol w:w="538"/>
        <w:gridCol w:w="602"/>
        <w:gridCol w:w="1169"/>
        <w:gridCol w:w="1222"/>
        <w:gridCol w:w="1639"/>
        <w:gridCol w:w="1055"/>
        <w:gridCol w:w="712"/>
        <w:gridCol w:w="567"/>
        <w:gridCol w:w="1133"/>
        <w:gridCol w:w="813"/>
      </w:tblGrid>
      <w:tr w14:paraId="425EF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restart"/>
            <w:textDirection w:val="tbRlV"/>
            <w:vAlign w:val="center"/>
          </w:tcPr>
          <w:p w14:paraId="55117338">
            <w:pPr>
              <w:keepNext w:val="0"/>
              <w:keepLines w:val="0"/>
              <w:pageBreakBefore w:val="0"/>
              <w:widowControl w:val="0"/>
              <w:kinsoku/>
              <w:wordWrap/>
              <w:overflowPunct/>
              <w:topLinePunct w:val="0"/>
              <w:autoSpaceDE/>
              <w:autoSpaceDN/>
              <w:bidi w:val="0"/>
              <w:adjustRightInd w:val="0"/>
              <w:snapToGrid w:val="0"/>
              <w:spacing w:after="0"/>
              <w:ind w:left="113" w:right="113"/>
              <w:jc w:val="center"/>
              <w:outlineLvl w:val="9"/>
              <w:rPr>
                <w:b/>
                <w:kern w:val="2"/>
                <w:sz w:val="15"/>
                <w:szCs w:val="15"/>
              </w:rPr>
            </w:pPr>
            <w:r>
              <w:rPr>
                <w:b/>
                <w:kern w:val="2"/>
                <w:sz w:val="15"/>
                <w:szCs w:val="15"/>
              </w:rPr>
              <w:t>建设项目</w:t>
            </w:r>
          </w:p>
        </w:tc>
        <w:tc>
          <w:tcPr>
            <w:tcW w:w="2018" w:type="dxa"/>
            <w:gridSpan w:val="3"/>
            <w:vAlign w:val="center"/>
          </w:tcPr>
          <w:p w14:paraId="6EE8938A">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项目名称</w:t>
            </w:r>
          </w:p>
        </w:tc>
        <w:tc>
          <w:tcPr>
            <w:tcW w:w="5543" w:type="dxa"/>
            <w:gridSpan w:val="6"/>
            <w:vAlign w:val="top"/>
          </w:tcPr>
          <w:p w14:paraId="0D51AFC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r>
              <w:rPr>
                <w:rFonts w:hint="eastAsia" w:ascii="Tahoma" w:hAnsi="Tahoma" w:eastAsia="微软雅黑"/>
                <w:sz w:val="15"/>
                <w:szCs w:val="15"/>
                <w:lang w:eastAsia="zh-CN"/>
              </w:rPr>
              <w:t>杭州广汇包装材料有限公司年产500万只塑料袋项目</w:t>
            </w:r>
          </w:p>
        </w:tc>
        <w:tc>
          <w:tcPr>
            <w:tcW w:w="2391" w:type="dxa"/>
            <w:gridSpan w:val="2"/>
            <w:vAlign w:val="center"/>
          </w:tcPr>
          <w:p w14:paraId="25CE6C32">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项</w:t>
            </w:r>
            <w:r>
              <w:rPr>
                <w:b/>
                <w:kern w:val="2"/>
                <w:sz w:val="15"/>
                <w:szCs w:val="15"/>
              </w:rPr>
              <w:t>目代码</w:t>
            </w:r>
          </w:p>
        </w:tc>
        <w:tc>
          <w:tcPr>
            <w:tcW w:w="1639" w:type="dxa"/>
            <w:vAlign w:val="top"/>
          </w:tcPr>
          <w:p w14:paraId="07909AED">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val="en-US" w:eastAsia="zh-CN"/>
              </w:rPr>
            </w:pPr>
            <w:r>
              <w:rPr>
                <w:rFonts w:hint="eastAsia" w:eastAsiaTheme="minorEastAsia"/>
                <w:kern w:val="2"/>
                <w:sz w:val="15"/>
                <w:szCs w:val="15"/>
                <w:lang w:val="en-US" w:eastAsia="zh-CN"/>
              </w:rPr>
              <w:t>C2923 塑料丝、绳及编织品制造</w:t>
            </w:r>
          </w:p>
        </w:tc>
        <w:tc>
          <w:tcPr>
            <w:tcW w:w="1767" w:type="dxa"/>
            <w:gridSpan w:val="2"/>
            <w:vAlign w:val="top"/>
          </w:tcPr>
          <w:p w14:paraId="1F51E16F">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建设地点</w:t>
            </w:r>
          </w:p>
        </w:tc>
        <w:tc>
          <w:tcPr>
            <w:tcW w:w="2513" w:type="dxa"/>
            <w:gridSpan w:val="3"/>
            <w:vAlign w:val="top"/>
          </w:tcPr>
          <w:p w14:paraId="3A38D401">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val="en-US" w:eastAsia="zh-CN"/>
              </w:rPr>
            </w:pPr>
            <w:r>
              <w:rPr>
                <w:rFonts w:hint="eastAsia"/>
                <w:kern w:val="2"/>
                <w:sz w:val="15"/>
                <w:szCs w:val="15"/>
                <w:lang w:val="en-US" w:eastAsia="zh-CN"/>
              </w:rPr>
              <w:t>萧山区新塘街道联华新村</w:t>
            </w:r>
          </w:p>
        </w:tc>
      </w:tr>
      <w:tr w14:paraId="58E29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7C16654B">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2C588532">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行业类别（分类管理</w:t>
            </w:r>
            <w:r>
              <w:rPr>
                <w:rFonts w:hint="eastAsia"/>
                <w:b/>
                <w:kern w:val="2"/>
                <w:sz w:val="15"/>
                <w:szCs w:val="15"/>
              </w:rPr>
              <w:t>名录</w:t>
            </w:r>
            <w:r>
              <w:rPr>
                <w:b/>
                <w:kern w:val="2"/>
                <w:sz w:val="15"/>
                <w:szCs w:val="15"/>
              </w:rPr>
              <w:t>）</w:t>
            </w:r>
          </w:p>
        </w:tc>
        <w:tc>
          <w:tcPr>
            <w:tcW w:w="5543" w:type="dxa"/>
            <w:gridSpan w:val="6"/>
            <w:vAlign w:val="top"/>
          </w:tcPr>
          <w:p w14:paraId="3F2ED79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2391" w:type="dxa"/>
            <w:gridSpan w:val="2"/>
            <w:vAlign w:val="center"/>
          </w:tcPr>
          <w:p w14:paraId="4FD81310">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建设性质</w:t>
            </w:r>
          </w:p>
        </w:tc>
        <w:tc>
          <w:tcPr>
            <w:tcW w:w="5919" w:type="dxa"/>
            <w:gridSpan w:val="6"/>
            <w:vAlign w:val="top"/>
          </w:tcPr>
          <w:p w14:paraId="0DA192D3">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b/>
                <w:kern w:val="2"/>
                <w:sz w:val="15"/>
                <w:szCs w:val="15"/>
                <w:lang w:val="en-US" w:eastAsia="zh-CN"/>
              </w:rPr>
              <w:t>技改</w:t>
            </w:r>
          </w:p>
        </w:tc>
      </w:tr>
      <w:tr w14:paraId="1886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190BB90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6EB6614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设计生产能力</w:t>
            </w:r>
          </w:p>
        </w:tc>
        <w:tc>
          <w:tcPr>
            <w:tcW w:w="5543" w:type="dxa"/>
            <w:gridSpan w:val="6"/>
            <w:vAlign w:val="top"/>
          </w:tcPr>
          <w:p w14:paraId="0B5D48B0">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ascii="Tahoma" w:hAnsi="Tahoma" w:eastAsia="微软雅黑"/>
                <w:sz w:val="15"/>
                <w:szCs w:val="15"/>
                <w:lang w:eastAsia="zh-CN"/>
              </w:rPr>
              <w:t>年产500万只塑料袋</w:t>
            </w:r>
          </w:p>
        </w:tc>
        <w:tc>
          <w:tcPr>
            <w:tcW w:w="2391" w:type="dxa"/>
            <w:gridSpan w:val="2"/>
            <w:vAlign w:val="top"/>
          </w:tcPr>
          <w:p w14:paraId="060E15A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实际生产能力</w:t>
            </w:r>
          </w:p>
        </w:tc>
        <w:tc>
          <w:tcPr>
            <w:tcW w:w="1639" w:type="dxa"/>
            <w:vAlign w:val="center"/>
          </w:tcPr>
          <w:p w14:paraId="2E656CAB">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ascii="Tahoma" w:hAnsi="Tahoma" w:eastAsia="微软雅黑"/>
                <w:sz w:val="15"/>
                <w:szCs w:val="15"/>
                <w:lang w:eastAsia="zh-CN"/>
              </w:rPr>
              <w:t>年产</w:t>
            </w:r>
            <w:r>
              <w:rPr>
                <w:rFonts w:hint="eastAsia" w:ascii="Tahoma" w:hAnsi="Tahoma" w:eastAsia="微软雅黑"/>
                <w:sz w:val="15"/>
                <w:szCs w:val="15"/>
                <w:lang w:val="en-US" w:eastAsia="zh-CN"/>
              </w:rPr>
              <w:t>300万只塑料袋</w:t>
            </w:r>
          </w:p>
        </w:tc>
        <w:tc>
          <w:tcPr>
            <w:tcW w:w="1767" w:type="dxa"/>
            <w:gridSpan w:val="2"/>
            <w:vAlign w:val="top"/>
          </w:tcPr>
          <w:p w14:paraId="6E2A7B69">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环评单位</w:t>
            </w:r>
          </w:p>
        </w:tc>
        <w:tc>
          <w:tcPr>
            <w:tcW w:w="2513" w:type="dxa"/>
            <w:gridSpan w:val="3"/>
            <w:vAlign w:val="top"/>
          </w:tcPr>
          <w:p w14:paraId="22B03262">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eastAsia="zh-CN"/>
              </w:rPr>
            </w:pPr>
            <w:r>
              <w:rPr>
                <w:rFonts w:hint="eastAsia"/>
                <w:kern w:val="2"/>
                <w:sz w:val="15"/>
                <w:szCs w:val="15"/>
                <w:lang w:eastAsia="zh-CN"/>
              </w:rPr>
              <w:t>杭州天添环保设计有限公司</w:t>
            </w:r>
          </w:p>
        </w:tc>
      </w:tr>
      <w:tr w14:paraId="3FC62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603A65F2">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706BAA96">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环评文件审批机关</w:t>
            </w:r>
          </w:p>
        </w:tc>
        <w:tc>
          <w:tcPr>
            <w:tcW w:w="5543" w:type="dxa"/>
            <w:gridSpan w:val="6"/>
            <w:vAlign w:val="top"/>
          </w:tcPr>
          <w:p w14:paraId="680D6D65">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eastAsia="zh-CN"/>
              </w:rPr>
            </w:pPr>
            <w:r>
              <w:rPr>
                <w:rFonts w:hint="eastAsia"/>
                <w:kern w:val="2"/>
                <w:sz w:val="15"/>
                <w:szCs w:val="15"/>
                <w:lang w:eastAsia="zh-CN"/>
              </w:rPr>
              <w:t>杭州市生态环境局</w:t>
            </w:r>
          </w:p>
        </w:tc>
        <w:tc>
          <w:tcPr>
            <w:tcW w:w="2391" w:type="dxa"/>
            <w:gridSpan w:val="2"/>
            <w:vAlign w:val="center"/>
          </w:tcPr>
          <w:p w14:paraId="7FBBB11F">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审批文号</w:t>
            </w:r>
          </w:p>
        </w:tc>
        <w:tc>
          <w:tcPr>
            <w:tcW w:w="1639" w:type="dxa"/>
            <w:vAlign w:val="top"/>
          </w:tcPr>
          <w:p w14:paraId="0E578197">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lang w:val="en-US" w:eastAsia="zh-CN"/>
              </w:rPr>
              <w:t>萧环建[2024]144号</w:t>
            </w:r>
          </w:p>
        </w:tc>
        <w:tc>
          <w:tcPr>
            <w:tcW w:w="1767" w:type="dxa"/>
            <w:gridSpan w:val="2"/>
            <w:vAlign w:val="center"/>
          </w:tcPr>
          <w:p w14:paraId="2E55B91D">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环评</w:t>
            </w:r>
            <w:r>
              <w:rPr>
                <w:b/>
                <w:kern w:val="2"/>
                <w:sz w:val="15"/>
                <w:szCs w:val="15"/>
              </w:rPr>
              <w:t>文件</w:t>
            </w:r>
            <w:r>
              <w:rPr>
                <w:rFonts w:hint="eastAsia"/>
                <w:b/>
                <w:kern w:val="2"/>
                <w:sz w:val="15"/>
                <w:szCs w:val="15"/>
              </w:rPr>
              <w:t>类型</w:t>
            </w:r>
          </w:p>
        </w:tc>
        <w:tc>
          <w:tcPr>
            <w:tcW w:w="2513" w:type="dxa"/>
            <w:gridSpan w:val="3"/>
            <w:vAlign w:val="top"/>
          </w:tcPr>
          <w:p w14:paraId="74EA38D2">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eastAsia="zh-CN"/>
              </w:rPr>
            </w:pPr>
            <w:r>
              <w:rPr>
                <w:rFonts w:hint="eastAsia"/>
                <w:kern w:val="2"/>
                <w:sz w:val="15"/>
                <w:szCs w:val="15"/>
                <w:lang w:eastAsia="zh-CN"/>
              </w:rPr>
              <w:t>报告表</w:t>
            </w:r>
          </w:p>
        </w:tc>
      </w:tr>
      <w:tr w14:paraId="239A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0597F785">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4021A29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开工日期</w:t>
            </w:r>
          </w:p>
        </w:tc>
        <w:tc>
          <w:tcPr>
            <w:tcW w:w="5543" w:type="dxa"/>
            <w:gridSpan w:val="6"/>
            <w:vAlign w:val="center"/>
          </w:tcPr>
          <w:p w14:paraId="117CAFFD">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2024年12月</w:t>
            </w:r>
          </w:p>
        </w:tc>
        <w:tc>
          <w:tcPr>
            <w:tcW w:w="2391" w:type="dxa"/>
            <w:gridSpan w:val="2"/>
            <w:vAlign w:val="center"/>
          </w:tcPr>
          <w:p w14:paraId="465E032F">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竣工日期</w:t>
            </w:r>
          </w:p>
        </w:tc>
        <w:tc>
          <w:tcPr>
            <w:tcW w:w="1639" w:type="dxa"/>
            <w:vAlign w:val="center"/>
          </w:tcPr>
          <w:p w14:paraId="4BFEA65D">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2025年6月</w:t>
            </w:r>
          </w:p>
        </w:tc>
        <w:tc>
          <w:tcPr>
            <w:tcW w:w="1767" w:type="dxa"/>
            <w:gridSpan w:val="2"/>
            <w:vAlign w:val="center"/>
          </w:tcPr>
          <w:p w14:paraId="4BCBFD62">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排污许可证申领时间</w:t>
            </w:r>
          </w:p>
        </w:tc>
        <w:tc>
          <w:tcPr>
            <w:tcW w:w="2513" w:type="dxa"/>
            <w:gridSpan w:val="3"/>
            <w:vAlign w:val="top"/>
          </w:tcPr>
          <w:p w14:paraId="096AF247">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default" w:eastAsiaTheme="minorEastAsia"/>
                <w:kern w:val="2"/>
                <w:sz w:val="15"/>
                <w:szCs w:val="15"/>
                <w:lang w:val="en-US" w:eastAsia="zh-CN"/>
              </w:rPr>
              <w:t>202</w:t>
            </w:r>
            <w:r>
              <w:rPr>
                <w:rFonts w:hint="eastAsia"/>
                <w:kern w:val="2"/>
                <w:sz w:val="15"/>
                <w:szCs w:val="15"/>
                <w:lang w:val="en-US" w:eastAsia="zh-CN"/>
              </w:rPr>
              <w:t>5</w:t>
            </w:r>
            <w:r>
              <w:rPr>
                <w:rFonts w:hint="default" w:eastAsiaTheme="minorEastAsia"/>
                <w:kern w:val="2"/>
                <w:sz w:val="15"/>
                <w:szCs w:val="15"/>
                <w:lang w:val="en-US" w:eastAsia="zh-CN"/>
              </w:rPr>
              <w:t>年</w:t>
            </w:r>
            <w:r>
              <w:rPr>
                <w:rFonts w:hint="eastAsia"/>
                <w:kern w:val="2"/>
                <w:sz w:val="15"/>
                <w:szCs w:val="15"/>
                <w:lang w:val="en-US" w:eastAsia="zh-CN"/>
              </w:rPr>
              <w:t>4</w:t>
            </w:r>
            <w:r>
              <w:rPr>
                <w:rFonts w:hint="default" w:eastAsiaTheme="minorEastAsia"/>
                <w:kern w:val="2"/>
                <w:sz w:val="15"/>
                <w:szCs w:val="15"/>
                <w:lang w:val="en-US" w:eastAsia="zh-CN"/>
              </w:rPr>
              <w:t>月</w:t>
            </w:r>
            <w:r>
              <w:rPr>
                <w:rFonts w:hint="eastAsia"/>
                <w:kern w:val="2"/>
                <w:sz w:val="15"/>
                <w:szCs w:val="15"/>
                <w:lang w:val="en-US" w:eastAsia="zh-CN"/>
              </w:rPr>
              <w:t>16</w:t>
            </w:r>
            <w:r>
              <w:rPr>
                <w:rFonts w:hint="default" w:eastAsiaTheme="minorEastAsia"/>
                <w:kern w:val="2"/>
                <w:sz w:val="15"/>
                <w:szCs w:val="15"/>
                <w:lang w:val="en-US" w:eastAsia="zh-CN"/>
              </w:rPr>
              <w:t>日</w:t>
            </w:r>
          </w:p>
        </w:tc>
      </w:tr>
      <w:tr w14:paraId="72226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4A4D3A1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468D1ABA">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环保设施设计单位</w:t>
            </w:r>
          </w:p>
        </w:tc>
        <w:tc>
          <w:tcPr>
            <w:tcW w:w="5543" w:type="dxa"/>
            <w:gridSpan w:val="6"/>
            <w:vAlign w:val="top"/>
          </w:tcPr>
          <w:p w14:paraId="48FD4175">
            <w:pPr>
              <w:keepNext w:val="0"/>
              <w:keepLines w:val="0"/>
              <w:pageBreakBefore w:val="0"/>
              <w:widowControl w:val="0"/>
              <w:kinsoku/>
              <w:wordWrap/>
              <w:overflowPunct/>
              <w:topLinePunct w:val="0"/>
              <w:autoSpaceDE/>
              <w:autoSpaceDN/>
              <w:bidi w:val="0"/>
              <w:adjustRightInd w:val="0"/>
              <w:snapToGrid w:val="0"/>
              <w:spacing w:after="0"/>
              <w:outlineLvl w:val="9"/>
              <w:rPr>
                <w:b/>
                <w:sz w:val="15"/>
                <w:szCs w:val="15"/>
              </w:rPr>
            </w:pPr>
          </w:p>
        </w:tc>
        <w:tc>
          <w:tcPr>
            <w:tcW w:w="2391" w:type="dxa"/>
            <w:gridSpan w:val="2"/>
            <w:vAlign w:val="center"/>
          </w:tcPr>
          <w:p w14:paraId="4A225CF5">
            <w:pPr>
              <w:keepNext w:val="0"/>
              <w:keepLines w:val="0"/>
              <w:pageBreakBefore w:val="0"/>
              <w:widowControl w:val="0"/>
              <w:kinsoku/>
              <w:wordWrap/>
              <w:overflowPunct/>
              <w:topLinePunct w:val="0"/>
              <w:autoSpaceDE/>
              <w:autoSpaceDN/>
              <w:bidi w:val="0"/>
              <w:adjustRightInd w:val="0"/>
              <w:snapToGrid w:val="0"/>
              <w:spacing w:after="0"/>
              <w:outlineLvl w:val="9"/>
              <w:rPr>
                <w:b/>
                <w:sz w:val="15"/>
                <w:szCs w:val="15"/>
              </w:rPr>
            </w:pPr>
            <w:r>
              <w:rPr>
                <w:b/>
                <w:sz w:val="15"/>
                <w:szCs w:val="15"/>
              </w:rPr>
              <w:t>环保设施施工单位</w:t>
            </w:r>
          </w:p>
        </w:tc>
        <w:tc>
          <w:tcPr>
            <w:tcW w:w="1639" w:type="dxa"/>
            <w:vAlign w:val="top"/>
          </w:tcPr>
          <w:p w14:paraId="4CA68A4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767" w:type="dxa"/>
            <w:gridSpan w:val="2"/>
            <w:vAlign w:val="center"/>
          </w:tcPr>
          <w:p w14:paraId="17689A04">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本工程排污许可证</w:t>
            </w:r>
            <w:r>
              <w:rPr>
                <w:b/>
                <w:kern w:val="2"/>
                <w:sz w:val="15"/>
                <w:szCs w:val="15"/>
              </w:rPr>
              <w:t>编号</w:t>
            </w:r>
          </w:p>
        </w:tc>
        <w:tc>
          <w:tcPr>
            <w:tcW w:w="2513" w:type="dxa"/>
            <w:gridSpan w:val="3"/>
            <w:vAlign w:val="top"/>
          </w:tcPr>
          <w:p w14:paraId="6AF6CEC4">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r>
      <w:tr w14:paraId="68B7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40" w:type="dxa"/>
            <w:vMerge w:val="continue"/>
            <w:vAlign w:val="center"/>
          </w:tcPr>
          <w:p w14:paraId="213AB2E2">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4696B80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验收单位</w:t>
            </w:r>
          </w:p>
        </w:tc>
        <w:tc>
          <w:tcPr>
            <w:tcW w:w="5543" w:type="dxa"/>
            <w:gridSpan w:val="6"/>
            <w:vAlign w:val="center"/>
          </w:tcPr>
          <w:p w14:paraId="0C8A32BA">
            <w:pPr>
              <w:keepNext w:val="0"/>
              <w:keepLines w:val="0"/>
              <w:pageBreakBefore w:val="0"/>
              <w:widowControl w:val="0"/>
              <w:kinsoku/>
              <w:wordWrap/>
              <w:overflowPunct/>
              <w:topLinePunct w:val="0"/>
              <w:autoSpaceDE/>
              <w:autoSpaceDN/>
              <w:bidi w:val="0"/>
              <w:adjustRightInd w:val="0"/>
              <w:snapToGrid w:val="0"/>
              <w:spacing w:after="0"/>
              <w:jc w:val="distribute"/>
              <w:outlineLvl w:val="9"/>
              <w:rPr>
                <w:b/>
                <w:kern w:val="2"/>
                <w:sz w:val="15"/>
                <w:szCs w:val="15"/>
              </w:rPr>
            </w:pPr>
            <w:r>
              <w:rPr>
                <w:rFonts w:hint="eastAsia"/>
                <w:kern w:val="2"/>
                <w:sz w:val="15"/>
                <w:szCs w:val="15"/>
                <w:lang w:val="en-US" w:eastAsia="zh-CN"/>
              </w:rPr>
              <w:t>杭州广汇包装材料有限公司</w:t>
            </w:r>
          </w:p>
        </w:tc>
        <w:tc>
          <w:tcPr>
            <w:tcW w:w="2391" w:type="dxa"/>
            <w:gridSpan w:val="2"/>
            <w:vAlign w:val="center"/>
          </w:tcPr>
          <w:p w14:paraId="6D252EC9">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环保设施监测单位</w:t>
            </w:r>
          </w:p>
        </w:tc>
        <w:tc>
          <w:tcPr>
            <w:tcW w:w="1639" w:type="dxa"/>
            <w:vAlign w:val="top"/>
          </w:tcPr>
          <w:p w14:paraId="5DD39A8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lang w:val="en-US" w:eastAsia="zh-CN"/>
              </w:rPr>
              <w:t>中昱（浙江）环境监测股份有限公司</w:t>
            </w:r>
          </w:p>
        </w:tc>
        <w:tc>
          <w:tcPr>
            <w:tcW w:w="1767" w:type="dxa"/>
            <w:gridSpan w:val="2"/>
            <w:vAlign w:val="top"/>
          </w:tcPr>
          <w:p w14:paraId="787BC388">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验收监测</w:t>
            </w:r>
            <w:r>
              <w:rPr>
                <w:rFonts w:hint="eastAsia"/>
                <w:b/>
                <w:kern w:val="2"/>
                <w:sz w:val="15"/>
                <w:szCs w:val="15"/>
              </w:rPr>
              <w:t>时工况</w:t>
            </w:r>
          </w:p>
        </w:tc>
        <w:tc>
          <w:tcPr>
            <w:tcW w:w="2513" w:type="dxa"/>
            <w:gridSpan w:val="3"/>
            <w:vAlign w:val="top"/>
          </w:tcPr>
          <w:p w14:paraId="33A69B1B">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正常生产</w:t>
            </w:r>
          </w:p>
        </w:tc>
      </w:tr>
      <w:tr w14:paraId="74EC6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07AE137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6EF90A1B">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投资总概算（万元）</w:t>
            </w:r>
          </w:p>
        </w:tc>
        <w:tc>
          <w:tcPr>
            <w:tcW w:w="5543" w:type="dxa"/>
            <w:gridSpan w:val="6"/>
            <w:vAlign w:val="center"/>
          </w:tcPr>
          <w:p w14:paraId="3CEDD1DC">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kern w:val="2"/>
                <w:sz w:val="15"/>
                <w:szCs w:val="15"/>
                <w:lang w:val="en-US" w:eastAsia="zh-CN"/>
              </w:rPr>
            </w:pPr>
            <w:r>
              <w:rPr>
                <w:rFonts w:hint="eastAsia"/>
                <w:kern w:val="2"/>
                <w:sz w:val="15"/>
                <w:szCs w:val="15"/>
                <w:lang w:val="en-US" w:eastAsia="zh-CN"/>
              </w:rPr>
              <w:t>200</w:t>
            </w:r>
          </w:p>
        </w:tc>
        <w:tc>
          <w:tcPr>
            <w:tcW w:w="2391" w:type="dxa"/>
            <w:gridSpan w:val="2"/>
            <w:vAlign w:val="center"/>
          </w:tcPr>
          <w:p w14:paraId="50D6554B">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kern w:val="2"/>
                <w:sz w:val="15"/>
                <w:szCs w:val="15"/>
              </w:rPr>
            </w:pPr>
            <w:r>
              <w:rPr>
                <w:b/>
                <w:kern w:val="2"/>
                <w:sz w:val="15"/>
                <w:szCs w:val="15"/>
              </w:rPr>
              <w:t>环保投资总概算（万元）</w:t>
            </w:r>
          </w:p>
        </w:tc>
        <w:tc>
          <w:tcPr>
            <w:tcW w:w="1639" w:type="dxa"/>
            <w:vAlign w:val="center"/>
          </w:tcPr>
          <w:p w14:paraId="2F18C0B6">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b/>
                <w:kern w:val="2"/>
                <w:sz w:val="15"/>
                <w:szCs w:val="15"/>
                <w:lang w:val="en-US" w:eastAsia="zh-CN"/>
              </w:rPr>
            </w:pPr>
            <w:r>
              <w:rPr>
                <w:rFonts w:hint="eastAsia"/>
                <w:b/>
                <w:kern w:val="2"/>
                <w:sz w:val="15"/>
                <w:szCs w:val="15"/>
                <w:lang w:val="en-US" w:eastAsia="zh-CN"/>
              </w:rPr>
              <w:t>9.5</w:t>
            </w:r>
          </w:p>
        </w:tc>
        <w:tc>
          <w:tcPr>
            <w:tcW w:w="1767" w:type="dxa"/>
            <w:gridSpan w:val="2"/>
            <w:vAlign w:val="center"/>
          </w:tcPr>
          <w:p w14:paraId="1E5A4F98">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kern w:val="2"/>
                <w:sz w:val="15"/>
                <w:szCs w:val="15"/>
              </w:rPr>
            </w:pPr>
            <w:r>
              <w:rPr>
                <w:b/>
                <w:kern w:val="2"/>
                <w:sz w:val="15"/>
                <w:szCs w:val="15"/>
              </w:rPr>
              <w:t>所占比例（%）</w:t>
            </w:r>
          </w:p>
        </w:tc>
        <w:tc>
          <w:tcPr>
            <w:tcW w:w="2513" w:type="dxa"/>
            <w:gridSpan w:val="3"/>
            <w:vAlign w:val="center"/>
          </w:tcPr>
          <w:p w14:paraId="6F3EE19F">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4.75</w:t>
            </w:r>
          </w:p>
        </w:tc>
      </w:tr>
      <w:tr w14:paraId="40F29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40" w:type="dxa"/>
            <w:vMerge w:val="continue"/>
            <w:vAlign w:val="center"/>
          </w:tcPr>
          <w:p w14:paraId="608BD706">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top"/>
          </w:tcPr>
          <w:p w14:paraId="742D71E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实际总投资</w:t>
            </w:r>
          </w:p>
        </w:tc>
        <w:tc>
          <w:tcPr>
            <w:tcW w:w="5543" w:type="dxa"/>
            <w:gridSpan w:val="6"/>
            <w:vAlign w:val="top"/>
          </w:tcPr>
          <w:p w14:paraId="5121960B">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kern w:val="2"/>
                <w:sz w:val="15"/>
                <w:szCs w:val="15"/>
                <w:lang w:val="en-US" w:eastAsia="zh-CN"/>
              </w:rPr>
            </w:pPr>
            <w:r>
              <w:rPr>
                <w:rFonts w:hint="eastAsia"/>
                <w:kern w:val="2"/>
                <w:sz w:val="15"/>
                <w:szCs w:val="15"/>
                <w:lang w:val="en-US" w:eastAsia="zh-CN"/>
              </w:rPr>
              <w:t>180</w:t>
            </w:r>
          </w:p>
        </w:tc>
        <w:tc>
          <w:tcPr>
            <w:tcW w:w="2391" w:type="dxa"/>
            <w:gridSpan w:val="2"/>
            <w:vAlign w:val="center"/>
          </w:tcPr>
          <w:p w14:paraId="39BAF3FB">
            <w:pPr>
              <w:keepNext w:val="0"/>
              <w:keepLines w:val="0"/>
              <w:pageBreakBefore w:val="0"/>
              <w:widowControl w:val="0"/>
              <w:kinsoku/>
              <w:wordWrap/>
              <w:overflowPunct/>
              <w:topLinePunct w:val="0"/>
              <w:autoSpaceDE/>
              <w:autoSpaceDN/>
              <w:bidi w:val="0"/>
              <w:adjustRightInd w:val="0"/>
              <w:snapToGrid w:val="0"/>
              <w:spacing w:after="0"/>
              <w:ind w:right="300"/>
              <w:outlineLvl w:val="9"/>
              <w:rPr>
                <w:b/>
                <w:kern w:val="2"/>
                <w:sz w:val="15"/>
                <w:szCs w:val="15"/>
              </w:rPr>
            </w:pPr>
            <w:r>
              <w:rPr>
                <w:b/>
                <w:kern w:val="2"/>
                <w:sz w:val="15"/>
                <w:szCs w:val="15"/>
              </w:rPr>
              <w:t>实际环保投资（万元）</w:t>
            </w:r>
          </w:p>
        </w:tc>
        <w:tc>
          <w:tcPr>
            <w:tcW w:w="1639" w:type="dxa"/>
            <w:vAlign w:val="center"/>
          </w:tcPr>
          <w:p w14:paraId="49DD3D8C">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kern w:val="2"/>
                <w:sz w:val="15"/>
                <w:szCs w:val="15"/>
                <w:lang w:val="en-US" w:eastAsia="zh-CN"/>
              </w:rPr>
            </w:pPr>
            <w:r>
              <w:rPr>
                <w:rFonts w:hint="eastAsia"/>
                <w:b/>
                <w:kern w:val="2"/>
                <w:sz w:val="15"/>
                <w:szCs w:val="15"/>
                <w:lang w:val="en-US" w:eastAsia="zh-CN"/>
              </w:rPr>
              <w:t>8.3</w:t>
            </w:r>
          </w:p>
        </w:tc>
        <w:tc>
          <w:tcPr>
            <w:tcW w:w="1767" w:type="dxa"/>
            <w:gridSpan w:val="2"/>
            <w:vAlign w:val="center"/>
          </w:tcPr>
          <w:p w14:paraId="5BD3923E">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b/>
                <w:kern w:val="2"/>
                <w:sz w:val="15"/>
                <w:szCs w:val="15"/>
              </w:rPr>
            </w:pPr>
            <w:r>
              <w:rPr>
                <w:b/>
                <w:kern w:val="2"/>
                <w:sz w:val="15"/>
                <w:szCs w:val="15"/>
              </w:rPr>
              <w:t>所占比例（%）</w:t>
            </w:r>
          </w:p>
        </w:tc>
        <w:tc>
          <w:tcPr>
            <w:tcW w:w="2513" w:type="dxa"/>
            <w:gridSpan w:val="3"/>
            <w:vAlign w:val="center"/>
          </w:tcPr>
          <w:p w14:paraId="0F9DAF86">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4.6</w:t>
            </w:r>
          </w:p>
        </w:tc>
      </w:tr>
      <w:tr w14:paraId="5BAA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40" w:type="dxa"/>
            <w:vMerge w:val="continue"/>
            <w:vAlign w:val="center"/>
          </w:tcPr>
          <w:p w14:paraId="22B8E52F">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07BC57CC">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废水治理（万元）</w:t>
            </w:r>
          </w:p>
        </w:tc>
        <w:tc>
          <w:tcPr>
            <w:tcW w:w="850" w:type="dxa"/>
            <w:vAlign w:val="top"/>
          </w:tcPr>
          <w:p w14:paraId="236A9170">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0.8</w:t>
            </w:r>
          </w:p>
        </w:tc>
        <w:tc>
          <w:tcPr>
            <w:tcW w:w="1418" w:type="dxa"/>
            <w:vAlign w:val="center"/>
          </w:tcPr>
          <w:p w14:paraId="7E80FCEA">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废气治理（万元）</w:t>
            </w:r>
          </w:p>
        </w:tc>
        <w:tc>
          <w:tcPr>
            <w:tcW w:w="1127" w:type="dxa"/>
            <w:vAlign w:val="center"/>
          </w:tcPr>
          <w:p w14:paraId="4D1DD45F">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5.5</w:t>
            </w:r>
          </w:p>
        </w:tc>
        <w:tc>
          <w:tcPr>
            <w:tcW w:w="1546" w:type="dxa"/>
            <w:gridSpan w:val="2"/>
            <w:vAlign w:val="center"/>
          </w:tcPr>
          <w:p w14:paraId="17546B87">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噪声治理（万元）</w:t>
            </w:r>
          </w:p>
        </w:tc>
        <w:tc>
          <w:tcPr>
            <w:tcW w:w="602" w:type="dxa"/>
            <w:vAlign w:val="center"/>
          </w:tcPr>
          <w:p w14:paraId="2C0F1E27">
            <w:pPr>
              <w:keepNext w:val="0"/>
              <w:keepLines w:val="0"/>
              <w:pageBreakBefore w:val="0"/>
              <w:widowControl w:val="0"/>
              <w:kinsoku/>
              <w:wordWrap/>
              <w:overflowPunct/>
              <w:topLinePunct w:val="0"/>
              <w:autoSpaceDE/>
              <w:autoSpaceDN/>
              <w:bidi w:val="0"/>
              <w:adjustRightInd w:val="0"/>
              <w:snapToGrid w:val="0"/>
              <w:spacing w:after="0"/>
              <w:jc w:val="both"/>
              <w:outlineLvl w:val="9"/>
              <w:rPr>
                <w:rFonts w:hint="default" w:eastAsiaTheme="minorEastAsia"/>
                <w:kern w:val="2"/>
                <w:sz w:val="15"/>
                <w:szCs w:val="15"/>
                <w:lang w:val="en-US" w:eastAsia="zh-CN"/>
              </w:rPr>
            </w:pPr>
            <w:r>
              <w:rPr>
                <w:rFonts w:hint="eastAsia"/>
                <w:kern w:val="2"/>
                <w:sz w:val="15"/>
                <w:szCs w:val="15"/>
                <w:lang w:val="en-US" w:eastAsia="zh-CN"/>
              </w:rPr>
              <w:t>0.5</w:t>
            </w:r>
          </w:p>
        </w:tc>
        <w:tc>
          <w:tcPr>
            <w:tcW w:w="2391" w:type="dxa"/>
            <w:gridSpan w:val="2"/>
            <w:vAlign w:val="center"/>
          </w:tcPr>
          <w:p w14:paraId="23F4553D">
            <w:pPr>
              <w:keepNext w:val="0"/>
              <w:keepLines w:val="0"/>
              <w:pageBreakBefore w:val="0"/>
              <w:widowControl w:val="0"/>
              <w:kinsoku/>
              <w:wordWrap/>
              <w:overflowPunct/>
              <w:topLinePunct w:val="0"/>
              <w:autoSpaceDE/>
              <w:autoSpaceDN/>
              <w:bidi w:val="0"/>
              <w:adjustRightInd w:val="0"/>
              <w:snapToGrid w:val="0"/>
              <w:spacing w:after="0"/>
              <w:jc w:val="both"/>
              <w:outlineLvl w:val="9"/>
              <w:rPr>
                <w:kern w:val="2"/>
                <w:sz w:val="15"/>
                <w:szCs w:val="15"/>
              </w:rPr>
            </w:pPr>
            <w:r>
              <w:rPr>
                <w:b/>
                <w:kern w:val="2"/>
                <w:sz w:val="15"/>
                <w:szCs w:val="15"/>
              </w:rPr>
              <w:t>固</w:t>
            </w:r>
            <w:r>
              <w:rPr>
                <w:rFonts w:hint="eastAsia"/>
                <w:b/>
                <w:kern w:val="2"/>
                <w:sz w:val="15"/>
                <w:szCs w:val="15"/>
              </w:rPr>
              <w:t>体</w:t>
            </w:r>
            <w:r>
              <w:rPr>
                <w:b/>
                <w:kern w:val="2"/>
                <w:sz w:val="15"/>
                <w:szCs w:val="15"/>
              </w:rPr>
              <w:t>废</w:t>
            </w:r>
            <w:r>
              <w:rPr>
                <w:rFonts w:hint="eastAsia"/>
                <w:b/>
                <w:kern w:val="2"/>
                <w:sz w:val="15"/>
                <w:szCs w:val="15"/>
              </w:rPr>
              <w:t>物</w:t>
            </w:r>
            <w:r>
              <w:rPr>
                <w:b/>
                <w:kern w:val="2"/>
                <w:sz w:val="15"/>
                <w:szCs w:val="15"/>
              </w:rPr>
              <w:t>治理（万元）</w:t>
            </w:r>
          </w:p>
        </w:tc>
        <w:tc>
          <w:tcPr>
            <w:tcW w:w="1639" w:type="dxa"/>
            <w:vAlign w:val="top"/>
          </w:tcPr>
          <w:p w14:paraId="53A548B3">
            <w:pPr>
              <w:keepNext w:val="0"/>
              <w:keepLines w:val="0"/>
              <w:pageBreakBefore w:val="0"/>
              <w:widowControl w:val="0"/>
              <w:kinsoku/>
              <w:wordWrap/>
              <w:overflowPunct/>
              <w:topLinePunct w:val="0"/>
              <w:autoSpaceDE/>
              <w:autoSpaceDN/>
              <w:bidi w:val="0"/>
              <w:adjustRightInd w:val="0"/>
              <w:snapToGrid w:val="0"/>
              <w:spacing w:after="0"/>
              <w:ind w:firstLine="750" w:firstLineChars="500"/>
              <w:outlineLvl w:val="9"/>
              <w:rPr>
                <w:rFonts w:hint="default" w:eastAsiaTheme="minorEastAsia"/>
                <w:kern w:val="2"/>
                <w:sz w:val="15"/>
                <w:szCs w:val="15"/>
                <w:lang w:val="en-US" w:eastAsia="zh-CN"/>
              </w:rPr>
            </w:pPr>
            <w:r>
              <w:rPr>
                <w:rFonts w:hint="eastAsia"/>
                <w:kern w:val="2"/>
                <w:sz w:val="15"/>
                <w:szCs w:val="15"/>
                <w:lang w:val="en-US" w:eastAsia="zh-CN"/>
              </w:rPr>
              <w:t>1.5</w:t>
            </w:r>
          </w:p>
        </w:tc>
        <w:tc>
          <w:tcPr>
            <w:tcW w:w="1767" w:type="dxa"/>
            <w:gridSpan w:val="2"/>
            <w:vAlign w:val="center"/>
          </w:tcPr>
          <w:p w14:paraId="36F2C8B8">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绿化及生态（万元）</w:t>
            </w:r>
          </w:p>
        </w:tc>
        <w:tc>
          <w:tcPr>
            <w:tcW w:w="567" w:type="dxa"/>
            <w:vAlign w:val="center"/>
          </w:tcPr>
          <w:p w14:paraId="52252D09">
            <w:pPr>
              <w:keepNext w:val="0"/>
              <w:keepLines w:val="0"/>
              <w:pageBreakBefore w:val="0"/>
              <w:widowControl w:val="0"/>
              <w:kinsoku/>
              <w:wordWrap/>
              <w:overflowPunct/>
              <w:topLinePunct w:val="0"/>
              <w:autoSpaceDE/>
              <w:autoSpaceDN/>
              <w:bidi w:val="0"/>
              <w:adjustRightInd w:val="0"/>
              <w:snapToGrid w:val="0"/>
              <w:spacing w:after="0"/>
              <w:outlineLvl w:val="9"/>
              <w:rPr>
                <w:rFonts w:hint="default"/>
                <w:kern w:val="2"/>
                <w:sz w:val="15"/>
                <w:szCs w:val="15"/>
                <w:lang w:val="en-US"/>
              </w:rPr>
            </w:pPr>
          </w:p>
        </w:tc>
        <w:tc>
          <w:tcPr>
            <w:tcW w:w="1133" w:type="dxa"/>
            <w:vAlign w:val="center"/>
          </w:tcPr>
          <w:p w14:paraId="659F7A94">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b/>
                <w:kern w:val="2"/>
                <w:sz w:val="15"/>
                <w:szCs w:val="15"/>
                <w:lang w:val="en-US"/>
              </w:rPr>
            </w:pPr>
            <w:r>
              <w:rPr>
                <w:rFonts w:hint="default"/>
                <w:b/>
                <w:kern w:val="2"/>
                <w:sz w:val="15"/>
                <w:szCs w:val="15"/>
                <w:lang w:val="en-US"/>
              </w:rPr>
              <w:t>其他（万元）</w:t>
            </w:r>
          </w:p>
        </w:tc>
        <w:tc>
          <w:tcPr>
            <w:tcW w:w="813" w:type="dxa"/>
            <w:vAlign w:val="top"/>
          </w:tcPr>
          <w:p w14:paraId="6E1E9350">
            <w:pPr>
              <w:keepNext w:val="0"/>
              <w:keepLines w:val="0"/>
              <w:pageBreakBefore w:val="0"/>
              <w:widowControl w:val="0"/>
              <w:kinsoku/>
              <w:wordWrap/>
              <w:overflowPunct/>
              <w:topLinePunct w:val="0"/>
              <w:autoSpaceDE/>
              <w:autoSpaceDN/>
              <w:bidi w:val="0"/>
              <w:adjustRightInd w:val="0"/>
              <w:snapToGrid w:val="0"/>
              <w:spacing w:after="0"/>
              <w:outlineLvl w:val="9"/>
              <w:rPr>
                <w:rFonts w:hint="default"/>
                <w:kern w:val="2"/>
                <w:sz w:val="15"/>
                <w:szCs w:val="15"/>
                <w:lang w:val="en-US"/>
              </w:rPr>
            </w:pPr>
          </w:p>
        </w:tc>
      </w:tr>
      <w:tr w14:paraId="580D9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2448094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161738F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新增废水处理设施能力</w:t>
            </w:r>
          </w:p>
        </w:tc>
        <w:tc>
          <w:tcPr>
            <w:tcW w:w="5543" w:type="dxa"/>
            <w:gridSpan w:val="6"/>
            <w:vAlign w:val="top"/>
          </w:tcPr>
          <w:p w14:paraId="0C77D36C">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391" w:type="dxa"/>
            <w:gridSpan w:val="2"/>
            <w:vAlign w:val="top"/>
          </w:tcPr>
          <w:p w14:paraId="34AA13B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新增废气处理设施能力</w:t>
            </w:r>
          </w:p>
        </w:tc>
        <w:tc>
          <w:tcPr>
            <w:tcW w:w="1639" w:type="dxa"/>
            <w:vAlign w:val="top"/>
          </w:tcPr>
          <w:p w14:paraId="6773245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767" w:type="dxa"/>
            <w:gridSpan w:val="2"/>
            <w:vAlign w:val="top"/>
          </w:tcPr>
          <w:p w14:paraId="086EC9E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年平均工作时</w:t>
            </w:r>
          </w:p>
        </w:tc>
        <w:tc>
          <w:tcPr>
            <w:tcW w:w="2513" w:type="dxa"/>
            <w:gridSpan w:val="3"/>
            <w:vAlign w:val="top"/>
          </w:tcPr>
          <w:p w14:paraId="314A9AB4">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2400</w:t>
            </w:r>
          </w:p>
        </w:tc>
      </w:tr>
      <w:tr w14:paraId="6109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458" w:type="dxa"/>
            <w:gridSpan w:val="4"/>
            <w:vAlign w:val="center"/>
          </w:tcPr>
          <w:p w14:paraId="5E9C2A20">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运营单位</w:t>
            </w:r>
          </w:p>
        </w:tc>
        <w:tc>
          <w:tcPr>
            <w:tcW w:w="4403" w:type="dxa"/>
            <w:gridSpan w:val="4"/>
            <w:vAlign w:val="center"/>
          </w:tcPr>
          <w:p w14:paraId="58A6B163">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3531" w:type="dxa"/>
            <w:gridSpan w:val="4"/>
            <w:vAlign w:val="center"/>
          </w:tcPr>
          <w:p w14:paraId="09A7F67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r>
              <w:rPr>
                <w:b/>
                <w:kern w:val="2"/>
                <w:sz w:val="15"/>
                <w:szCs w:val="15"/>
              </w:rPr>
              <w:t>运营单位</w:t>
            </w:r>
            <w:r>
              <w:rPr>
                <w:rFonts w:hint="eastAsia"/>
                <w:b/>
                <w:kern w:val="2"/>
                <w:sz w:val="15"/>
                <w:szCs w:val="15"/>
              </w:rPr>
              <w:t>社会统一信用代码（或组织机构代码）</w:t>
            </w:r>
          </w:p>
        </w:tc>
        <w:tc>
          <w:tcPr>
            <w:tcW w:w="1639" w:type="dxa"/>
            <w:vAlign w:val="center"/>
          </w:tcPr>
          <w:p w14:paraId="48FC234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p>
        </w:tc>
        <w:tc>
          <w:tcPr>
            <w:tcW w:w="1767" w:type="dxa"/>
            <w:gridSpan w:val="2"/>
            <w:vAlign w:val="top"/>
          </w:tcPr>
          <w:p w14:paraId="71D9428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验收时间</w:t>
            </w:r>
          </w:p>
        </w:tc>
        <w:tc>
          <w:tcPr>
            <w:tcW w:w="2513" w:type="dxa"/>
            <w:gridSpan w:val="3"/>
            <w:vAlign w:val="top"/>
          </w:tcPr>
          <w:p w14:paraId="0A83C23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r>
      <w:tr w14:paraId="13C91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restart"/>
            <w:vAlign w:val="center"/>
          </w:tcPr>
          <w:p w14:paraId="7ECC15C1">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污染</w:t>
            </w:r>
          </w:p>
          <w:p w14:paraId="0676314A">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物排</w:t>
            </w:r>
          </w:p>
          <w:p w14:paraId="01C98E89">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放达</w:t>
            </w:r>
          </w:p>
          <w:p w14:paraId="5420DDEA">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标与</w:t>
            </w:r>
          </w:p>
          <w:p w14:paraId="53EF1EE8">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总量</w:t>
            </w:r>
          </w:p>
          <w:p w14:paraId="1AE070AE">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控制（工</w:t>
            </w:r>
          </w:p>
          <w:p w14:paraId="4BDA9B62">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业建</w:t>
            </w:r>
          </w:p>
          <w:p w14:paraId="7875C2AD">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设项</w:t>
            </w:r>
          </w:p>
          <w:p w14:paraId="35DB766C">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目详填）</w:t>
            </w:r>
          </w:p>
        </w:tc>
        <w:tc>
          <w:tcPr>
            <w:tcW w:w="1844" w:type="dxa"/>
            <w:gridSpan w:val="2"/>
            <w:vAlign w:val="center"/>
          </w:tcPr>
          <w:p w14:paraId="37179E0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污染物</w:t>
            </w:r>
          </w:p>
        </w:tc>
        <w:tc>
          <w:tcPr>
            <w:tcW w:w="850" w:type="dxa"/>
            <w:vAlign w:val="center"/>
          </w:tcPr>
          <w:p w14:paraId="4250304F">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原有排</w:t>
            </w:r>
          </w:p>
          <w:p w14:paraId="4A3238C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放量(1)</w:t>
            </w:r>
          </w:p>
        </w:tc>
        <w:tc>
          <w:tcPr>
            <w:tcW w:w="1418" w:type="dxa"/>
            <w:vAlign w:val="center"/>
          </w:tcPr>
          <w:p w14:paraId="1DCA628A">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本期工程实际排放浓度(2)</w:t>
            </w:r>
          </w:p>
        </w:tc>
        <w:tc>
          <w:tcPr>
            <w:tcW w:w="1127" w:type="dxa"/>
            <w:vAlign w:val="center"/>
          </w:tcPr>
          <w:p w14:paraId="210920F7">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本期工程允许排放浓度(3)</w:t>
            </w:r>
          </w:p>
        </w:tc>
        <w:tc>
          <w:tcPr>
            <w:tcW w:w="1008" w:type="dxa"/>
            <w:vAlign w:val="center"/>
          </w:tcPr>
          <w:p w14:paraId="3F37B847">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本期工程产生量(4)</w:t>
            </w:r>
          </w:p>
        </w:tc>
        <w:tc>
          <w:tcPr>
            <w:tcW w:w="1140" w:type="dxa"/>
            <w:gridSpan w:val="2"/>
            <w:vAlign w:val="center"/>
          </w:tcPr>
          <w:p w14:paraId="54F91DED">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本期工程自身削减量(5)</w:t>
            </w:r>
          </w:p>
        </w:tc>
        <w:tc>
          <w:tcPr>
            <w:tcW w:w="1169" w:type="dxa"/>
            <w:vAlign w:val="center"/>
          </w:tcPr>
          <w:p w14:paraId="37122674">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本期工程实际排放量(6)</w:t>
            </w:r>
          </w:p>
        </w:tc>
        <w:tc>
          <w:tcPr>
            <w:tcW w:w="1222" w:type="dxa"/>
            <w:vAlign w:val="center"/>
          </w:tcPr>
          <w:p w14:paraId="405B4201">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本期工程核定排放总量(7)</w:t>
            </w:r>
          </w:p>
        </w:tc>
        <w:tc>
          <w:tcPr>
            <w:tcW w:w="1639" w:type="dxa"/>
            <w:vAlign w:val="center"/>
          </w:tcPr>
          <w:p w14:paraId="3EE2E95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本期工程“以新带老”削减量(8)</w:t>
            </w:r>
          </w:p>
        </w:tc>
        <w:tc>
          <w:tcPr>
            <w:tcW w:w="1055" w:type="dxa"/>
            <w:vAlign w:val="center"/>
          </w:tcPr>
          <w:p w14:paraId="34B0B8B9">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全厂实际排放总量(9)</w:t>
            </w:r>
          </w:p>
        </w:tc>
        <w:tc>
          <w:tcPr>
            <w:tcW w:w="1279" w:type="dxa"/>
            <w:gridSpan w:val="2"/>
            <w:vAlign w:val="center"/>
          </w:tcPr>
          <w:p w14:paraId="3D727FC9">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全厂核定排放总量(10)</w:t>
            </w:r>
          </w:p>
        </w:tc>
        <w:tc>
          <w:tcPr>
            <w:tcW w:w="1133" w:type="dxa"/>
            <w:vAlign w:val="center"/>
          </w:tcPr>
          <w:p w14:paraId="0C55FBAC">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区域平衡替代削减量(11)</w:t>
            </w:r>
          </w:p>
        </w:tc>
        <w:tc>
          <w:tcPr>
            <w:tcW w:w="813" w:type="dxa"/>
            <w:vAlign w:val="center"/>
          </w:tcPr>
          <w:p w14:paraId="398D5695">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排放增减量(12)</w:t>
            </w:r>
          </w:p>
        </w:tc>
      </w:tr>
      <w:tr w14:paraId="0AA10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614" w:type="dxa"/>
            <w:gridSpan w:val="2"/>
            <w:vMerge w:val="continue"/>
            <w:vAlign w:val="center"/>
          </w:tcPr>
          <w:p w14:paraId="7404FBA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681232FD">
            <w:pPr>
              <w:keepNext w:val="0"/>
              <w:keepLines w:val="0"/>
              <w:pageBreakBefore w:val="0"/>
              <w:widowControl w:val="0"/>
              <w:kinsoku/>
              <w:wordWrap/>
              <w:overflowPunct/>
              <w:topLinePunct w:val="0"/>
              <w:autoSpaceDE/>
              <w:autoSpaceDN/>
              <w:bidi w:val="0"/>
              <w:adjustRightInd w:val="0"/>
              <w:snapToGrid w:val="0"/>
              <w:spacing w:after="0"/>
              <w:jc w:val="both"/>
              <w:outlineLvl w:val="9"/>
              <w:rPr>
                <w:kern w:val="2"/>
                <w:sz w:val="15"/>
                <w:szCs w:val="15"/>
              </w:rPr>
            </w:pPr>
            <w:r>
              <w:rPr>
                <w:rFonts w:eastAsia="黑体"/>
                <w:b/>
                <w:kern w:val="2"/>
                <w:sz w:val="15"/>
                <w:szCs w:val="15"/>
              </w:rPr>
              <w:t>废水</w:t>
            </w:r>
          </w:p>
        </w:tc>
        <w:tc>
          <w:tcPr>
            <w:tcW w:w="850" w:type="dxa"/>
            <w:vAlign w:val="center"/>
          </w:tcPr>
          <w:p w14:paraId="70BB9AB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3B3D83F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63B55C8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4B7E43CF">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40" w:type="dxa"/>
            <w:gridSpan w:val="2"/>
            <w:vAlign w:val="center"/>
          </w:tcPr>
          <w:p w14:paraId="7907F600">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69" w:type="dxa"/>
            <w:vAlign w:val="center"/>
          </w:tcPr>
          <w:p w14:paraId="301CBA9B">
            <w:pPr>
              <w:adjustRightInd w:val="0"/>
              <w:snapToGrid w:val="0"/>
              <w:jc w:val="center"/>
              <w:outlineLvl w:val="9"/>
              <w:rPr>
                <w:rFonts w:hint="default"/>
                <w:kern w:val="2"/>
                <w:sz w:val="15"/>
                <w:szCs w:val="15"/>
                <w:lang w:val="en-US" w:eastAsia="zh-CN"/>
              </w:rPr>
            </w:pPr>
            <w:r>
              <w:rPr>
                <w:rFonts w:hint="default" w:asciiTheme="minorHAnsi" w:hAnsiTheme="minorHAnsi" w:eastAsiaTheme="minorEastAsia" w:cstheme="minorBidi"/>
                <w:bCs w:val="0"/>
                <w:sz w:val="15"/>
                <w:szCs w:val="15"/>
                <w:lang w:val="en-US" w:eastAsia="zh-CN"/>
              </w:rPr>
              <w:t>0.</w:t>
            </w:r>
            <w:r>
              <w:rPr>
                <w:rFonts w:hint="eastAsia" w:cstheme="minorBidi"/>
                <w:bCs w:val="0"/>
                <w:sz w:val="15"/>
                <w:szCs w:val="15"/>
                <w:lang w:val="en-US" w:eastAsia="zh-CN"/>
              </w:rPr>
              <w:t>02025</w:t>
            </w:r>
          </w:p>
        </w:tc>
        <w:tc>
          <w:tcPr>
            <w:tcW w:w="1222" w:type="dxa"/>
            <w:vAlign w:val="center"/>
          </w:tcPr>
          <w:p w14:paraId="4EB9B9B7">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eastAsia"/>
                <w:kern w:val="2"/>
                <w:sz w:val="15"/>
                <w:szCs w:val="15"/>
                <w:lang w:val="en-US" w:eastAsia="zh-CN"/>
              </w:rPr>
            </w:pPr>
          </w:p>
        </w:tc>
        <w:tc>
          <w:tcPr>
            <w:tcW w:w="1639" w:type="dxa"/>
            <w:vAlign w:val="center"/>
          </w:tcPr>
          <w:p w14:paraId="5CABADF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0CC0E52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5A69182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0112C3E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6A0A9F2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7C545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1F18B59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4D1F4D6F">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化学需氧量</w:t>
            </w:r>
          </w:p>
        </w:tc>
        <w:tc>
          <w:tcPr>
            <w:tcW w:w="850" w:type="dxa"/>
            <w:vAlign w:val="center"/>
          </w:tcPr>
          <w:p w14:paraId="6CE8CA9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5D3D1DA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56D8EDD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388E8D37">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40" w:type="dxa"/>
            <w:gridSpan w:val="2"/>
            <w:vAlign w:val="center"/>
          </w:tcPr>
          <w:p w14:paraId="014F658B">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69" w:type="dxa"/>
            <w:vAlign w:val="center"/>
          </w:tcPr>
          <w:p w14:paraId="22ED8AED">
            <w:pPr>
              <w:adjustRightInd w:val="0"/>
              <w:snapToGrid w:val="0"/>
              <w:jc w:val="center"/>
              <w:outlineLvl w:val="9"/>
              <w:rPr>
                <w:rFonts w:hint="default"/>
                <w:kern w:val="2"/>
                <w:sz w:val="15"/>
                <w:szCs w:val="15"/>
                <w:lang w:val="en-US" w:eastAsia="zh-CN"/>
              </w:rPr>
            </w:pPr>
            <w:r>
              <w:rPr>
                <w:rFonts w:hint="default" w:asciiTheme="minorHAnsi" w:hAnsiTheme="minorHAnsi" w:eastAsiaTheme="minorEastAsia" w:cstheme="minorBidi"/>
                <w:snapToGrid/>
                <w:kern w:val="2"/>
                <w:sz w:val="15"/>
                <w:szCs w:val="15"/>
                <w:lang w:val="en-US" w:eastAsia="zh-CN"/>
              </w:rPr>
              <w:t>0.</w:t>
            </w:r>
            <w:r>
              <w:rPr>
                <w:rFonts w:hint="eastAsia" w:cstheme="minorBidi"/>
                <w:snapToGrid/>
                <w:kern w:val="2"/>
                <w:sz w:val="15"/>
                <w:szCs w:val="15"/>
                <w:lang w:val="en-US" w:eastAsia="zh-CN"/>
              </w:rPr>
              <w:t>0081</w:t>
            </w:r>
          </w:p>
        </w:tc>
        <w:tc>
          <w:tcPr>
            <w:tcW w:w="1222" w:type="dxa"/>
            <w:vAlign w:val="center"/>
          </w:tcPr>
          <w:p w14:paraId="32F9C90B">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eastAsia"/>
                <w:kern w:val="2"/>
                <w:sz w:val="15"/>
                <w:szCs w:val="15"/>
                <w:lang w:val="en-US" w:eastAsia="zh-CN"/>
              </w:rPr>
            </w:pPr>
          </w:p>
        </w:tc>
        <w:tc>
          <w:tcPr>
            <w:tcW w:w="1639" w:type="dxa"/>
            <w:vAlign w:val="center"/>
          </w:tcPr>
          <w:p w14:paraId="07FEF9D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0F56C06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57F672F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4A569AF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60E9E8C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1A708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1851703A">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59BDC0F3">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氨氮</w:t>
            </w:r>
          </w:p>
        </w:tc>
        <w:tc>
          <w:tcPr>
            <w:tcW w:w="850" w:type="dxa"/>
            <w:vAlign w:val="center"/>
          </w:tcPr>
          <w:p w14:paraId="01D7A3B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356C745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02787AF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6505CA96">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40" w:type="dxa"/>
            <w:gridSpan w:val="2"/>
            <w:vAlign w:val="center"/>
          </w:tcPr>
          <w:p w14:paraId="507A7785">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69" w:type="dxa"/>
            <w:vAlign w:val="center"/>
          </w:tcPr>
          <w:p w14:paraId="07FFA636">
            <w:pPr>
              <w:adjustRightInd w:val="0"/>
              <w:snapToGrid w:val="0"/>
              <w:jc w:val="center"/>
              <w:outlineLvl w:val="9"/>
              <w:rPr>
                <w:rFonts w:hint="default"/>
                <w:kern w:val="2"/>
                <w:sz w:val="15"/>
                <w:szCs w:val="15"/>
                <w:lang w:val="en-US" w:eastAsia="zh-CN"/>
              </w:rPr>
            </w:pPr>
            <w:r>
              <w:rPr>
                <w:rFonts w:hint="default" w:asciiTheme="minorHAnsi" w:hAnsiTheme="minorHAnsi" w:eastAsiaTheme="minorEastAsia" w:cstheme="minorBidi"/>
                <w:snapToGrid/>
                <w:kern w:val="2"/>
                <w:sz w:val="15"/>
                <w:szCs w:val="15"/>
                <w:lang w:val="en-US" w:eastAsia="zh-CN"/>
              </w:rPr>
              <w:t>0.0</w:t>
            </w:r>
            <w:r>
              <w:rPr>
                <w:rFonts w:hint="eastAsia" w:cstheme="minorBidi"/>
                <w:snapToGrid/>
                <w:kern w:val="2"/>
                <w:sz w:val="15"/>
                <w:szCs w:val="15"/>
                <w:lang w:val="en-US" w:eastAsia="zh-CN"/>
              </w:rPr>
              <w:t>004</w:t>
            </w:r>
          </w:p>
        </w:tc>
        <w:tc>
          <w:tcPr>
            <w:tcW w:w="1222" w:type="dxa"/>
            <w:vAlign w:val="center"/>
          </w:tcPr>
          <w:p w14:paraId="332CA1EA">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eastAsia"/>
                <w:kern w:val="2"/>
                <w:sz w:val="15"/>
                <w:szCs w:val="15"/>
                <w:lang w:val="en-US" w:eastAsia="zh-CN"/>
              </w:rPr>
            </w:pPr>
          </w:p>
        </w:tc>
        <w:tc>
          <w:tcPr>
            <w:tcW w:w="1639" w:type="dxa"/>
            <w:vAlign w:val="center"/>
          </w:tcPr>
          <w:p w14:paraId="6D5E485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56DF51E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1B1F288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08359A2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7FC02E8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09555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535F44C5">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7082CEBB">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石油类</w:t>
            </w:r>
          </w:p>
        </w:tc>
        <w:tc>
          <w:tcPr>
            <w:tcW w:w="850" w:type="dxa"/>
            <w:vAlign w:val="center"/>
          </w:tcPr>
          <w:p w14:paraId="0E8635F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1DCD1C0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7ED80F7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403C006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091E16C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6454B41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53258B0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08C3EF5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28FFFF6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782C4EF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6C19CD4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47D5ADF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12233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2BAF20FF">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52C6CC7F">
            <w:pPr>
              <w:keepNext w:val="0"/>
              <w:keepLines w:val="0"/>
              <w:pageBreakBefore w:val="0"/>
              <w:widowControl w:val="0"/>
              <w:kinsoku/>
              <w:wordWrap/>
              <w:overflowPunct/>
              <w:topLinePunct w:val="0"/>
              <w:autoSpaceDE/>
              <w:autoSpaceDN/>
              <w:bidi w:val="0"/>
              <w:adjustRightInd w:val="0"/>
              <w:snapToGrid w:val="0"/>
              <w:spacing w:after="0"/>
              <w:jc w:val="both"/>
              <w:outlineLvl w:val="9"/>
              <w:rPr>
                <w:rFonts w:eastAsia="黑体"/>
                <w:b/>
                <w:kern w:val="2"/>
                <w:sz w:val="15"/>
                <w:szCs w:val="15"/>
              </w:rPr>
            </w:pPr>
            <w:r>
              <w:rPr>
                <w:rFonts w:eastAsia="黑体"/>
                <w:b/>
                <w:kern w:val="2"/>
                <w:sz w:val="15"/>
                <w:szCs w:val="15"/>
              </w:rPr>
              <w:t>废气</w:t>
            </w:r>
          </w:p>
        </w:tc>
        <w:tc>
          <w:tcPr>
            <w:tcW w:w="850" w:type="dxa"/>
            <w:vAlign w:val="center"/>
          </w:tcPr>
          <w:p w14:paraId="4A724B6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27E4407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22C8FB5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1805CF5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1F823E5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6209ED7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5FC8BED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6D19A80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1EA4978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6FAFA0B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406A174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770C943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5182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6DE24994">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190D2358">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二氧化硫</w:t>
            </w:r>
          </w:p>
        </w:tc>
        <w:tc>
          <w:tcPr>
            <w:tcW w:w="850" w:type="dxa"/>
            <w:vAlign w:val="center"/>
          </w:tcPr>
          <w:p w14:paraId="54EF20A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3DE876C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784A061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6E59855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6871308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313B5A3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1870C58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09F64AE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673811B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60673EC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12FBF6F1">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c>
          <w:tcPr>
            <w:tcW w:w="813" w:type="dxa"/>
            <w:vAlign w:val="center"/>
          </w:tcPr>
          <w:p w14:paraId="660F56A9">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r>
      <w:tr w14:paraId="0DF6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 w:hRule="atLeast"/>
          <w:jc w:val="center"/>
        </w:trPr>
        <w:tc>
          <w:tcPr>
            <w:tcW w:w="614" w:type="dxa"/>
            <w:gridSpan w:val="2"/>
            <w:vMerge w:val="continue"/>
            <w:vAlign w:val="top"/>
          </w:tcPr>
          <w:p w14:paraId="7E01D87A">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50FFC9E4">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烟尘</w:t>
            </w:r>
          </w:p>
        </w:tc>
        <w:tc>
          <w:tcPr>
            <w:tcW w:w="850" w:type="dxa"/>
            <w:vAlign w:val="center"/>
          </w:tcPr>
          <w:p w14:paraId="41CA465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5F4FDF9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1CAFEB1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26CA6AD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40CC53B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5B76635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313B5FD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13C36FA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4B28105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22EB58E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24D68431">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c>
          <w:tcPr>
            <w:tcW w:w="813" w:type="dxa"/>
            <w:vAlign w:val="center"/>
          </w:tcPr>
          <w:p w14:paraId="09A87099">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r>
      <w:tr w14:paraId="215B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709B650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0968409A">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工业粉尘</w:t>
            </w:r>
          </w:p>
        </w:tc>
        <w:tc>
          <w:tcPr>
            <w:tcW w:w="850" w:type="dxa"/>
            <w:vAlign w:val="center"/>
          </w:tcPr>
          <w:p w14:paraId="229DCB7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3306F06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693A7B8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58781CF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031FA89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39B97F6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06B87BD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7B2CAA2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3FB4F76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3827281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03F5DB0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2D8D8EE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36CF5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3C818EA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4C1755C8">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氮氧化物</w:t>
            </w:r>
          </w:p>
        </w:tc>
        <w:tc>
          <w:tcPr>
            <w:tcW w:w="850" w:type="dxa"/>
            <w:vAlign w:val="center"/>
          </w:tcPr>
          <w:p w14:paraId="7357E87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7EDC068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5014D88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7D237D8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12BC099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5C3ADA9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543B8E3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5D7D22C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645C110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09DFB82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13C1F24B">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c>
          <w:tcPr>
            <w:tcW w:w="813" w:type="dxa"/>
            <w:vAlign w:val="center"/>
          </w:tcPr>
          <w:p w14:paraId="5633C82F">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r>
      <w:tr w14:paraId="7B501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4E4E76F6">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0191BA32">
            <w:pPr>
              <w:keepNext w:val="0"/>
              <w:keepLines w:val="0"/>
              <w:pageBreakBefore w:val="0"/>
              <w:widowControl w:val="0"/>
              <w:kinsoku/>
              <w:wordWrap/>
              <w:overflowPunct/>
              <w:topLinePunct w:val="0"/>
              <w:autoSpaceDE/>
              <w:autoSpaceDN/>
              <w:bidi w:val="0"/>
              <w:adjustRightInd w:val="0"/>
              <w:snapToGrid w:val="0"/>
              <w:spacing w:after="0"/>
              <w:jc w:val="both"/>
              <w:outlineLvl w:val="9"/>
              <w:rPr>
                <w:rFonts w:eastAsia="黑体"/>
                <w:b/>
                <w:kern w:val="2"/>
                <w:sz w:val="15"/>
                <w:szCs w:val="15"/>
              </w:rPr>
            </w:pPr>
            <w:r>
              <w:rPr>
                <w:rFonts w:eastAsia="黑体"/>
                <w:b/>
                <w:kern w:val="2"/>
                <w:sz w:val="15"/>
                <w:szCs w:val="15"/>
              </w:rPr>
              <w:t>工业固体废物</w:t>
            </w:r>
          </w:p>
        </w:tc>
        <w:tc>
          <w:tcPr>
            <w:tcW w:w="850" w:type="dxa"/>
            <w:vAlign w:val="center"/>
          </w:tcPr>
          <w:p w14:paraId="77EA7F7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7C6FF0F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179569F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7DBB6DD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47A6D68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517F15B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1BFA4E9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3C31971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0F622E5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75D8DA3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41FE7A7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3EA1EA8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5F7BE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19395D7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129" w:type="dxa"/>
            <w:vMerge w:val="restart"/>
            <w:vAlign w:val="top"/>
          </w:tcPr>
          <w:p w14:paraId="3269B688">
            <w:pPr>
              <w:keepNext w:val="0"/>
              <w:keepLines w:val="0"/>
              <w:pageBreakBefore w:val="0"/>
              <w:widowControl w:val="0"/>
              <w:kinsoku/>
              <w:wordWrap/>
              <w:overflowPunct/>
              <w:topLinePunct w:val="0"/>
              <w:autoSpaceDE/>
              <w:autoSpaceDN/>
              <w:bidi w:val="0"/>
              <w:adjustRightInd w:val="0"/>
              <w:snapToGrid w:val="0"/>
              <w:spacing w:after="0"/>
              <w:jc w:val="both"/>
              <w:outlineLvl w:val="9"/>
              <w:rPr>
                <w:kern w:val="2"/>
                <w:sz w:val="15"/>
                <w:szCs w:val="15"/>
              </w:rPr>
            </w:pPr>
            <w:r>
              <w:rPr>
                <w:b/>
                <w:kern w:val="2"/>
                <w:sz w:val="15"/>
                <w:szCs w:val="15"/>
              </w:rPr>
              <w:t>与项目有关的其</w:t>
            </w:r>
            <w:r>
              <w:rPr>
                <w:rFonts w:hint="eastAsia"/>
                <w:b/>
                <w:kern w:val="2"/>
                <w:sz w:val="15"/>
                <w:szCs w:val="15"/>
              </w:rPr>
              <w:t>他</w:t>
            </w:r>
            <w:r>
              <w:rPr>
                <w:b/>
                <w:kern w:val="2"/>
                <w:sz w:val="15"/>
                <w:szCs w:val="15"/>
              </w:rPr>
              <w:t>特征污染物</w:t>
            </w:r>
          </w:p>
        </w:tc>
        <w:tc>
          <w:tcPr>
            <w:tcW w:w="715" w:type="dxa"/>
            <w:vAlign w:val="center"/>
          </w:tcPr>
          <w:p w14:paraId="2F2E01E6">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rPr>
              <w:t>SS</w:t>
            </w:r>
          </w:p>
        </w:tc>
        <w:tc>
          <w:tcPr>
            <w:tcW w:w="850" w:type="dxa"/>
            <w:vAlign w:val="center"/>
          </w:tcPr>
          <w:p w14:paraId="0F4F442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7B60A7E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481BEC6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5EA7B58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00768BC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6515655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6EBC8B3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3030527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7E605DC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51133E5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26B5949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1CF3D34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1F38F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14A70089">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129" w:type="dxa"/>
            <w:vMerge w:val="continue"/>
            <w:vAlign w:val="top"/>
          </w:tcPr>
          <w:p w14:paraId="1B46CE6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p>
        </w:tc>
        <w:tc>
          <w:tcPr>
            <w:tcW w:w="715" w:type="dxa"/>
            <w:vAlign w:val="center"/>
          </w:tcPr>
          <w:p w14:paraId="1AF58CA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rPr>
              <w:t>总磷</w:t>
            </w:r>
          </w:p>
        </w:tc>
        <w:tc>
          <w:tcPr>
            <w:tcW w:w="850" w:type="dxa"/>
            <w:vAlign w:val="center"/>
          </w:tcPr>
          <w:p w14:paraId="0282C07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2F9B8DE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1A39F2B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45447FD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4C0DE42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638265B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408DEF4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3879259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153698F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4BAEE00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6FAD699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0AAD024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724B9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 w:hRule="atLeast"/>
          <w:jc w:val="center"/>
        </w:trPr>
        <w:tc>
          <w:tcPr>
            <w:tcW w:w="614" w:type="dxa"/>
            <w:gridSpan w:val="2"/>
            <w:vMerge w:val="continue"/>
            <w:vAlign w:val="top"/>
          </w:tcPr>
          <w:p w14:paraId="3EB3A453">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129" w:type="dxa"/>
            <w:vMerge w:val="continue"/>
            <w:vAlign w:val="top"/>
          </w:tcPr>
          <w:p w14:paraId="2A3E616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p>
        </w:tc>
        <w:tc>
          <w:tcPr>
            <w:tcW w:w="715" w:type="dxa"/>
            <w:vAlign w:val="center"/>
          </w:tcPr>
          <w:p w14:paraId="43B9FFD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850" w:type="dxa"/>
            <w:vAlign w:val="top"/>
          </w:tcPr>
          <w:p w14:paraId="0EC315F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top"/>
          </w:tcPr>
          <w:p w14:paraId="047F5A5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top"/>
          </w:tcPr>
          <w:p w14:paraId="7F38961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top"/>
          </w:tcPr>
          <w:p w14:paraId="7271C06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top"/>
          </w:tcPr>
          <w:p w14:paraId="2965E6B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top"/>
          </w:tcPr>
          <w:p w14:paraId="67C0D23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top"/>
          </w:tcPr>
          <w:p w14:paraId="64C1C20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top"/>
          </w:tcPr>
          <w:p w14:paraId="281BA45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top"/>
          </w:tcPr>
          <w:p w14:paraId="371AD09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top"/>
          </w:tcPr>
          <w:p w14:paraId="3DF5B5F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top"/>
          </w:tcPr>
          <w:p w14:paraId="1FCADC9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top"/>
          </w:tcPr>
          <w:p w14:paraId="6B8C15D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bl>
    <w:p w14:paraId="08AC36A7">
      <w:pPr>
        <w:pStyle w:val="8"/>
        <w:jc w:val="left"/>
        <w:rPr>
          <w:rFonts w:hint="default" w:hAnsi="宋体"/>
          <w:sz w:val="24"/>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1977AD6">
      <w:pPr>
        <w:pStyle w:val="8"/>
        <w:rPr>
          <w:rFonts w:hint="default"/>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swiss"/>
    <w:pitch w:val="default"/>
    <w:sig w:usb0="00000000" w:usb1="00000000" w:usb2="00000000" w:usb3="00000000" w:csb0="00040000" w:csb1="00000000"/>
  </w:font>
  <w:font w:name="楷体_GB2312">
    <w:altName w:val="楷体"/>
    <w:panose1 w:val="02010609030101010101"/>
    <w:charset w:val="86"/>
    <w:family w:val="decorative"/>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072E9">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C19EC2">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3DC19EC2">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52A4FD"/>
    <w:multiLevelType w:val="singleLevel"/>
    <w:tmpl w:val="AA52A4FD"/>
    <w:lvl w:ilvl="0" w:tentative="0">
      <w:start w:val="1"/>
      <w:numFmt w:val="decimal"/>
      <w:suff w:val="nothing"/>
      <w:lvlText w:val="%1、"/>
      <w:lvlJc w:val="left"/>
    </w:lvl>
  </w:abstractNum>
  <w:abstractNum w:abstractNumId="1">
    <w:nsid w:val="CE92A20B"/>
    <w:multiLevelType w:val="singleLevel"/>
    <w:tmpl w:val="CE92A20B"/>
    <w:lvl w:ilvl="0" w:tentative="0">
      <w:start w:val="3"/>
      <w:numFmt w:val="chineseCounting"/>
      <w:suff w:val="nothing"/>
      <w:lvlText w:val="%1、"/>
      <w:lvlJc w:val="left"/>
      <w:rPr>
        <w:rFonts w:hint="eastAsia"/>
      </w:rPr>
    </w:lvl>
  </w:abstractNum>
  <w:abstractNum w:abstractNumId="2">
    <w:nsid w:val="158B0E36"/>
    <w:multiLevelType w:val="singleLevel"/>
    <w:tmpl w:val="158B0E36"/>
    <w:lvl w:ilvl="0" w:tentative="0">
      <w:start w:val="6"/>
      <w:numFmt w:val="chineseCounting"/>
      <w:suff w:val="nothing"/>
      <w:lvlText w:val="%1、"/>
      <w:lvlJc w:val="left"/>
      <w:rPr>
        <w:rFonts w:hint="eastAsia"/>
      </w:rPr>
    </w:lvl>
  </w:abstractNum>
  <w:abstractNum w:abstractNumId="3">
    <w:nsid w:val="39B65AB7"/>
    <w:multiLevelType w:val="singleLevel"/>
    <w:tmpl w:val="39B65AB7"/>
    <w:lvl w:ilvl="0" w:tentative="0">
      <w:start w:val="2"/>
      <w:numFmt w:val="decimal"/>
      <w:suff w:val="nothing"/>
      <w:lvlText w:val="（%1）"/>
      <w:lvlJc w:val="left"/>
    </w:lvl>
  </w:abstractNum>
  <w:abstractNum w:abstractNumId="4">
    <w:nsid w:val="5994F62A"/>
    <w:multiLevelType w:val="singleLevel"/>
    <w:tmpl w:val="5994F62A"/>
    <w:lvl w:ilvl="0" w:tentative="0">
      <w:start w:val="1"/>
      <w:numFmt w:val="decimal"/>
      <w:suff w:val="nothing"/>
      <w:lvlText w:val="（%1）"/>
      <w:lvlJc w:val="left"/>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596D6E"/>
    <w:rsid w:val="02E63129"/>
    <w:rsid w:val="06C94CF4"/>
    <w:rsid w:val="08413E6D"/>
    <w:rsid w:val="08BD0334"/>
    <w:rsid w:val="0B3C2DD1"/>
    <w:rsid w:val="0BF91DA9"/>
    <w:rsid w:val="12655A66"/>
    <w:rsid w:val="13F6275F"/>
    <w:rsid w:val="14406411"/>
    <w:rsid w:val="175A62F1"/>
    <w:rsid w:val="21825B05"/>
    <w:rsid w:val="2D24358E"/>
    <w:rsid w:val="2F576CE2"/>
    <w:rsid w:val="32371B29"/>
    <w:rsid w:val="36596D6E"/>
    <w:rsid w:val="39120704"/>
    <w:rsid w:val="3BBE0384"/>
    <w:rsid w:val="3F5C56D8"/>
    <w:rsid w:val="3F8213B4"/>
    <w:rsid w:val="43737C93"/>
    <w:rsid w:val="4B83637F"/>
    <w:rsid w:val="4BF955C5"/>
    <w:rsid w:val="4D26420A"/>
    <w:rsid w:val="52090090"/>
    <w:rsid w:val="533117EF"/>
    <w:rsid w:val="55873072"/>
    <w:rsid w:val="58EC2EB8"/>
    <w:rsid w:val="64635580"/>
    <w:rsid w:val="649B6378"/>
    <w:rsid w:val="66B41C00"/>
    <w:rsid w:val="698509FD"/>
    <w:rsid w:val="6B052471"/>
    <w:rsid w:val="6E9E3B08"/>
    <w:rsid w:val="6FBD0C6B"/>
    <w:rsid w:val="6FF02179"/>
    <w:rsid w:val="789C1477"/>
    <w:rsid w:val="7A113E0E"/>
    <w:rsid w:val="7E2F2BB8"/>
    <w:rsid w:val="7E5938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4">
    <w:name w:val="heading 1"/>
    <w:basedOn w:val="1"/>
    <w:next w:val="1"/>
    <w:qFormat/>
    <w:uiPriority w:val="0"/>
    <w:pPr>
      <w:keepNext/>
      <w:keepLines/>
      <w:spacing w:before="120" w:beforeLines="0" w:line="576" w:lineRule="auto"/>
      <w:jc w:val="left"/>
      <w:outlineLvl w:val="0"/>
    </w:pPr>
    <w:rPr>
      <w:b/>
      <w:kern w:val="44"/>
      <w:sz w:val="28"/>
    </w:rPr>
  </w:style>
  <w:style w:type="paragraph" w:styleId="5">
    <w:name w:val="heading 2"/>
    <w:basedOn w:val="1"/>
    <w:next w:val="1"/>
    <w:unhideWhenUsed/>
    <w:qFormat/>
    <w:uiPriority w:val="0"/>
    <w:pPr>
      <w:keepNext/>
      <w:keepLines/>
      <w:spacing w:line="413" w:lineRule="auto"/>
      <w:jc w:val="left"/>
      <w:outlineLvl w:val="1"/>
    </w:pPr>
    <w:rPr>
      <w:rFonts w:ascii="Times New Roman" w:hAnsi="Times New Roman" w:eastAsia="宋体"/>
      <w:b/>
    </w:rPr>
  </w:style>
  <w:style w:type="paragraph" w:styleId="6">
    <w:name w:val="heading 4"/>
    <w:basedOn w:val="1"/>
    <w:next w:val="1"/>
    <w:qFormat/>
    <w:uiPriority w:val="0"/>
    <w:pPr>
      <w:keepNext/>
      <w:keepLines/>
      <w:spacing w:line="440" w:lineRule="exact"/>
      <w:outlineLvl w:val="3"/>
    </w:pPr>
    <w:rPr>
      <w:rFonts w:ascii="Arial" w:hAnsi="Arial"/>
      <w:bCs/>
      <w:szCs w:val="28"/>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0"/>
    <w:pPr>
      <w:ind w:firstLine="420" w:firstLineChars="200"/>
    </w:pPr>
  </w:style>
  <w:style w:type="paragraph" w:customStyle="1" w:styleId="3">
    <w:name w:val="正文首行缩进2个字 Char"/>
    <w:basedOn w:val="1"/>
    <w:qFormat/>
    <w:uiPriority w:val="0"/>
    <w:pPr>
      <w:ind w:firstLine="480" w:firstLineChars="200"/>
    </w:pPr>
    <w:rPr>
      <w:rFonts w:eastAsia="楷体"/>
      <w:sz w:val="24"/>
      <w:szCs w:val="24"/>
    </w:rPr>
  </w:style>
  <w:style w:type="paragraph" w:styleId="7">
    <w:name w:val="Body Text Indent"/>
    <w:basedOn w:val="1"/>
    <w:qFormat/>
    <w:uiPriority w:val="0"/>
    <w:pPr>
      <w:ind w:left="718" w:leftChars="342" w:firstLine="398" w:firstLineChars="142"/>
    </w:pPr>
    <w:rPr>
      <w:sz w:val="28"/>
    </w:rPr>
  </w:style>
  <w:style w:type="paragraph" w:styleId="8">
    <w:name w:val="Plain Text"/>
    <w:basedOn w:val="1"/>
    <w:qFormat/>
    <w:uiPriority w:val="0"/>
    <w:rPr>
      <w:rFonts w:ascii="宋体" w:hAnsi="Courier New"/>
      <w:szCs w:val="20"/>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pPr>
      <w:tabs>
        <w:tab w:val="right" w:leader="dot" w:pos="8296"/>
      </w:tabs>
      <w:spacing w:line="440" w:lineRule="exact"/>
    </w:pPr>
    <w:rPr>
      <w:b/>
      <w:sz w:val="28"/>
      <w:szCs w:val="28"/>
    </w:rPr>
  </w:style>
  <w:style w:type="paragraph" w:styleId="12">
    <w:name w:val="toc 2"/>
    <w:basedOn w:val="1"/>
    <w:next w:val="1"/>
    <w:qFormat/>
    <w:uiPriority w:val="0"/>
    <w:pPr>
      <w:ind w:left="420" w:leftChars="200"/>
    </w:pPr>
  </w:style>
  <w:style w:type="paragraph" w:styleId="13">
    <w:name w:val="Body Text First Indent 2"/>
    <w:basedOn w:val="6"/>
    <w:next w:val="1"/>
    <w:qFormat/>
    <w:uiPriority w:val="0"/>
    <w:pPr>
      <w:adjustRightInd/>
      <w:snapToGrid/>
      <w:spacing w:beforeLines="0" w:after="120" w:line="240" w:lineRule="auto"/>
      <w:ind w:left="420" w:leftChars="200" w:firstLine="420" w:firstLineChars="200"/>
    </w:pPr>
    <w:rPr>
      <w:sz w:val="21"/>
    </w:r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表格"/>
    <w:basedOn w:val="1"/>
    <w:autoRedefine/>
    <w:qFormat/>
    <w:uiPriority w:val="0"/>
    <w:pPr>
      <w:spacing w:line="240" w:lineRule="atLeast"/>
      <w:ind w:firstLine="0" w:firstLineChars="0"/>
      <w:jc w:val="center"/>
    </w:pPr>
    <w:rPr>
      <w:sz w:val="21"/>
      <w:szCs w:val="21"/>
    </w:rPr>
  </w:style>
  <w:style w:type="table" w:customStyle="1" w:styleId="18">
    <w:name w:val="Table Normal"/>
    <w:autoRedefine/>
    <w:unhideWhenUsed/>
    <w:qFormat/>
    <w:uiPriority w:val="0"/>
    <w:tblPr>
      <w:tblCellMar>
        <w:top w:w="0" w:type="dxa"/>
        <w:left w:w="0" w:type="dxa"/>
        <w:bottom w:w="0" w:type="dxa"/>
        <w:right w:w="0" w:type="dxa"/>
      </w:tblCellMar>
    </w:tblPr>
  </w:style>
  <w:style w:type="paragraph" w:customStyle="1" w:styleId="19">
    <w:name w:val="_Style 0"/>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0">
    <w:name w:val="Table Paragraph"/>
    <w:basedOn w:val="1"/>
    <w:autoRedefine/>
    <w:qFormat/>
    <w:uiPriority w:val="1"/>
    <w:rPr>
      <w:rFonts w:ascii="宋体" w:hAnsi="宋体" w:eastAsia="宋体" w:cs="宋体"/>
      <w:lang w:val="zh-CN" w:eastAsia="zh-CN" w:bidi="zh-CN"/>
    </w:rPr>
  </w:style>
  <w:style w:type="paragraph" w:customStyle="1" w:styleId="21">
    <w:name w:val="结果表格"/>
    <w:basedOn w:val="1"/>
    <w:autoRedefine/>
    <w:qFormat/>
    <w:uiPriority w:val="0"/>
    <w:pPr>
      <w:jc w:val="left"/>
    </w:pPr>
    <w:rPr>
      <w:sz w:val="24"/>
    </w:rPr>
  </w:style>
  <w:style w:type="paragraph" w:customStyle="1" w:styleId="22">
    <w:name w:val="Table Text"/>
    <w:basedOn w:val="1"/>
    <w:semiHidden/>
    <w:qFormat/>
    <w:uiPriority w:val="0"/>
    <w:rPr>
      <w:rFonts w:ascii="仿宋" w:hAnsi="仿宋" w:eastAsia="仿宋" w:cs="仿宋"/>
      <w:sz w:val="24"/>
      <w:szCs w:val="24"/>
      <w:lang w:val="en-US" w:eastAsia="en-US" w:bidi="ar-SA"/>
    </w:rPr>
  </w:style>
  <w:style w:type="paragraph" w:customStyle="1" w:styleId="23">
    <w:name w:val="彩色列表 - 强调文字颜色 11"/>
    <w:basedOn w:val="1"/>
    <w:qFormat/>
    <w:uiPriority w:val="34"/>
    <w:pPr>
      <w:ind w:firstLine="420" w:firstLineChars="200"/>
    </w:pPr>
  </w:style>
  <w:style w:type="paragraph" w:customStyle="1" w:styleId="24">
    <w:name w:val="无间距1"/>
    <w:qFormat/>
    <w:uiPriority w:val="1"/>
    <w:pPr>
      <w:widowControl w:val="0"/>
      <w:jc w:val="both"/>
    </w:pPr>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1822</Words>
  <Characters>2189</Characters>
  <Lines>0</Lines>
  <Paragraphs>0</Paragraphs>
  <TotalTime>1314</TotalTime>
  <ScaleCrop>false</ScaleCrop>
  <LinksUpToDate>false</LinksUpToDate>
  <CharactersWithSpaces>2299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2025-08-04T02:33:00Z</dcterms:created>
  <dc:creator>汤</dc:creator>
  <cp:lastModifiedBy>汤</cp:lastModifiedBy>
  <cp:lastPrinted>2025-08-28T09:43:00Z</cp:lastPrinted>
  <dcterms:modified xsi:type="dcterms:W3CDTF">2025-10-15T00:39:20Z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A753943F65944783B743F9DFA29A2BF2_11</vt:lpwstr>
  </property>
  <property fmtid="{D5CDD505-2E9C-101B-9397-08002B2CF9AE}" pid="4" name="KSOTemplateDocerSaveRecord">
    <vt:lpwstr>eyJoZGlkIjoiNmJiZmZhNGRmYTZjZDFkZDkzYzJhMmU2MmJhMTRhN2IiLCJ1c2VySWQiOiIxMDM2Mzg3MzY3In0=</vt:lpwstr>
  </property>
</Properties>
</file>